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02" w:firstLineChars="100"/>
        <w:jc w:val="center"/>
        <w:rPr>
          <w:rFonts w:ascii="Times New Roman" w:hAnsi="Times New Roman" w:cs="Times New Roman"/>
          <w:b/>
          <w:bCs/>
          <w:sz w:val="28"/>
          <w:szCs w:val="28"/>
        </w:rPr>
      </w:pPr>
      <w:r>
        <w:rPr>
          <w:rFonts w:hint="eastAsia" w:ascii="宋体" w:hAnsi="宋体" w:eastAsia="宋体"/>
          <w:b/>
          <w:color w:val="000000" w:themeColor="text1"/>
          <w:sz w:val="40"/>
          <w:szCs w:val="40"/>
        </w:rPr>
        <w:t>医用耗材院内公开遴选</w:t>
      </w:r>
      <w:r>
        <w:rPr>
          <w:rFonts w:ascii="Times New Roman" w:hAnsi="Times New Roman" w:cs="Times New Roman"/>
          <w:b/>
          <w:bCs/>
          <w:sz w:val="40"/>
          <w:szCs w:val="40"/>
        </w:rPr>
        <w:t>评审标准</w:t>
      </w:r>
    </w:p>
    <w:p>
      <w:pPr>
        <w:rPr>
          <w:rFonts w:ascii="Times New Roman" w:hAnsi="Times New Roman" w:cs="Times New Roman"/>
        </w:rPr>
      </w:pPr>
    </w:p>
    <w:p>
      <w:pPr>
        <w:numPr>
          <w:ilvl w:val="0"/>
          <w:numId w:val="1"/>
        </w:numPr>
        <w:rPr>
          <w:rFonts w:ascii="Times New Roman" w:hAnsi="Times New Roman" w:cs="Times New Roman"/>
          <w:sz w:val="28"/>
          <w:szCs w:val="28"/>
        </w:rPr>
      </w:pPr>
      <w:r>
        <w:rPr>
          <w:rFonts w:ascii="Times New Roman" w:hAnsi="Times New Roman" w:cs="Times New Roman"/>
          <w:sz w:val="28"/>
          <w:szCs w:val="28"/>
        </w:rPr>
        <w:t>资格审查：按照采购公告供应商资格条件内容进行审查。</w:t>
      </w:r>
    </w:p>
    <w:p>
      <w:pPr>
        <w:numPr>
          <w:ilvl w:val="0"/>
          <w:numId w:val="1"/>
        </w:numPr>
        <w:rPr>
          <w:rFonts w:ascii="Times New Roman" w:hAnsi="Times New Roman" w:cs="Times New Roman"/>
          <w:sz w:val="28"/>
          <w:szCs w:val="28"/>
        </w:rPr>
      </w:pPr>
      <w:r>
        <w:rPr>
          <w:rFonts w:ascii="Times New Roman" w:hAnsi="Times New Roman" w:cs="Times New Roman"/>
          <w:sz w:val="28"/>
          <w:szCs w:val="28"/>
        </w:rPr>
        <w:t>符合性审查：</w:t>
      </w:r>
    </w:p>
    <w:p>
      <w:pPr>
        <w:pStyle w:val="2"/>
        <w:snapToGrid w:val="0"/>
        <w:spacing w:line="360" w:lineRule="auto"/>
        <w:ind w:left="482"/>
        <w:contextualSpacing/>
        <w:rPr>
          <w:rFonts w:ascii="Times New Roman" w:hAnsi="Times New Roman"/>
          <w:b/>
          <w:sz w:val="24"/>
        </w:rPr>
      </w:pPr>
      <w:r>
        <w:rPr>
          <w:rFonts w:ascii="Times New Roman" w:hAnsi="Times New Roman"/>
          <w:b/>
          <w:sz w:val="24"/>
        </w:rPr>
        <w:t>1.在符合性检查时，如发现下列情形之一的，投标文件将被视为无效：</w:t>
      </w:r>
    </w:p>
    <w:p>
      <w:pPr>
        <w:pStyle w:val="2"/>
        <w:snapToGrid w:val="0"/>
        <w:spacing w:line="360" w:lineRule="auto"/>
        <w:ind w:left="482"/>
        <w:contextualSpacing/>
        <w:rPr>
          <w:rFonts w:ascii="Times New Roman" w:hAnsi="Times New Roman"/>
          <w:bCs/>
          <w:sz w:val="24"/>
        </w:rPr>
      </w:pPr>
      <w:r>
        <w:rPr>
          <w:rFonts w:ascii="Times New Roman" w:hAnsi="Times New Roman"/>
          <w:bCs/>
          <w:sz w:val="24"/>
        </w:rPr>
        <w:t>（1）无单位盖章或无法定代表人或其授权代理人签字；</w:t>
      </w:r>
    </w:p>
    <w:p>
      <w:pPr>
        <w:pStyle w:val="2"/>
        <w:snapToGrid w:val="0"/>
        <w:spacing w:line="360" w:lineRule="auto"/>
        <w:ind w:left="482"/>
        <w:contextualSpacing/>
        <w:rPr>
          <w:rFonts w:ascii="Times New Roman" w:hAnsi="Times New Roman"/>
          <w:bCs/>
          <w:sz w:val="24"/>
        </w:rPr>
      </w:pPr>
      <w:r>
        <w:rPr>
          <w:rFonts w:ascii="Times New Roman" w:hAnsi="Times New Roman"/>
          <w:bCs/>
          <w:sz w:val="24"/>
        </w:rPr>
        <w:t>（2）投标最终报价超过采购预算价的（该投标产品无效，不计入入围目录清单）；</w:t>
      </w:r>
    </w:p>
    <w:p>
      <w:pPr>
        <w:pStyle w:val="2"/>
        <w:snapToGrid w:val="0"/>
        <w:spacing w:line="360" w:lineRule="auto"/>
        <w:ind w:left="482"/>
        <w:contextualSpacing/>
        <w:rPr>
          <w:rFonts w:ascii="Times New Roman" w:hAnsi="Times New Roman"/>
          <w:bCs/>
          <w:sz w:val="24"/>
        </w:rPr>
      </w:pPr>
      <w:r>
        <w:rPr>
          <w:rFonts w:ascii="Times New Roman" w:hAnsi="Times New Roman"/>
          <w:bCs/>
          <w:sz w:val="24"/>
        </w:rPr>
        <w:t>（3）未实质性响应招标文件要求或者投标文件有招标人不能接受的条件的；</w:t>
      </w:r>
    </w:p>
    <w:p>
      <w:pPr>
        <w:pStyle w:val="2"/>
        <w:snapToGrid w:val="0"/>
        <w:spacing w:line="360" w:lineRule="auto"/>
        <w:ind w:left="482"/>
        <w:contextualSpacing/>
        <w:rPr>
          <w:rFonts w:ascii="Times New Roman" w:hAnsi="Times New Roman"/>
          <w:bCs/>
          <w:sz w:val="24"/>
        </w:rPr>
      </w:pPr>
      <w:r>
        <w:rPr>
          <w:rFonts w:ascii="Times New Roman" w:hAnsi="Times New Roman"/>
          <w:bCs/>
          <w:sz w:val="24"/>
        </w:rPr>
        <w:t>（4）投标文件未按招标文件规定格式编制影响投标文件实质性内容的；</w:t>
      </w:r>
    </w:p>
    <w:p>
      <w:pPr>
        <w:pStyle w:val="2"/>
        <w:snapToGrid w:val="0"/>
        <w:spacing w:line="360" w:lineRule="auto"/>
        <w:ind w:left="482"/>
        <w:contextualSpacing/>
        <w:rPr>
          <w:rFonts w:ascii="Times New Roman" w:hAnsi="Times New Roman"/>
          <w:bCs/>
          <w:sz w:val="24"/>
        </w:rPr>
      </w:pPr>
      <w:r>
        <w:rPr>
          <w:rFonts w:ascii="Times New Roman" w:hAnsi="Times New Roman"/>
          <w:bCs/>
          <w:sz w:val="24"/>
        </w:rPr>
        <w:t>（5）重要内容或关键字迹模糊不清；</w:t>
      </w:r>
    </w:p>
    <w:p>
      <w:pPr>
        <w:pStyle w:val="2"/>
        <w:snapToGrid w:val="0"/>
        <w:spacing w:line="360" w:lineRule="auto"/>
        <w:ind w:firstLine="480" w:firstLineChars="200"/>
        <w:contextualSpacing/>
        <w:rPr>
          <w:rFonts w:ascii="Times New Roman" w:hAnsi="Times New Roman"/>
          <w:bCs/>
          <w:color w:val="FF0000"/>
          <w:sz w:val="24"/>
        </w:rPr>
      </w:pPr>
      <w:r>
        <w:rPr>
          <w:rFonts w:ascii="Times New Roman" w:hAnsi="Times New Roman"/>
          <w:bCs/>
          <w:color w:val="FF0000"/>
          <w:sz w:val="24"/>
        </w:rPr>
        <w:t>（6）不符合招标文件中“</w:t>
      </w:r>
      <w:r>
        <w:rPr>
          <w:rFonts w:ascii="Segoe UI Symbol" w:hAnsi="Segoe UI Symbol" w:cs="Segoe UI Symbol"/>
          <w:bCs/>
          <w:color w:val="FF0000"/>
        </w:rPr>
        <w:t>★</w:t>
      </w:r>
      <w:r>
        <w:rPr>
          <w:rFonts w:ascii="Times New Roman" w:hAnsi="Times New Roman"/>
          <w:bCs/>
          <w:color w:val="FF0000"/>
          <w:sz w:val="24"/>
        </w:rPr>
        <w:t>”规定的实质性要求。</w:t>
      </w:r>
    </w:p>
    <w:p>
      <w:pPr>
        <w:rPr>
          <w:rFonts w:ascii="Times New Roman" w:hAnsi="Times New Roman" w:cs="Times New Roman"/>
          <w:sz w:val="28"/>
          <w:szCs w:val="28"/>
        </w:rPr>
      </w:pPr>
      <w:r>
        <w:rPr>
          <w:rFonts w:ascii="Times New Roman" w:hAnsi="Times New Roman" w:cs="Times New Roman"/>
          <w:sz w:val="28"/>
          <w:szCs w:val="28"/>
        </w:rPr>
        <w:t>三、评分细则（满分100分）</w:t>
      </w:r>
    </w:p>
    <w:tbl>
      <w:tblPr>
        <w:tblStyle w:val="5"/>
        <w:tblW w:w="10012" w:type="dxa"/>
        <w:jc w:val="center"/>
        <w:tblLayout w:type="fixed"/>
        <w:tblCellMar>
          <w:top w:w="0" w:type="dxa"/>
          <w:left w:w="108" w:type="dxa"/>
          <w:bottom w:w="0" w:type="dxa"/>
          <w:right w:w="108" w:type="dxa"/>
        </w:tblCellMar>
      </w:tblPr>
      <w:tblGrid>
        <w:gridCol w:w="1082"/>
        <w:gridCol w:w="963"/>
        <w:gridCol w:w="1021"/>
        <w:gridCol w:w="6946"/>
      </w:tblGrid>
      <w:tr>
        <w:tblPrEx>
          <w:tblCellMar>
            <w:top w:w="0" w:type="dxa"/>
            <w:left w:w="108" w:type="dxa"/>
            <w:bottom w:w="0" w:type="dxa"/>
            <w:right w:w="108" w:type="dxa"/>
          </w:tblCellMar>
        </w:tblPrEx>
        <w:trPr>
          <w:trHeight w:val="927" w:hRule="atLeast"/>
          <w:jc w:val="center"/>
        </w:trPr>
        <w:tc>
          <w:tcPr>
            <w:tcW w:w="10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评审项目</w:t>
            </w:r>
          </w:p>
        </w:tc>
        <w:tc>
          <w:tcPr>
            <w:tcW w:w="9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评审因素</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分值</w:t>
            </w:r>
          </w:p>
          <w:p>
            <w:pPr>
              <w:adjustRightInd w:val="0"/>
              <w:snapToGrid w:val="0"/>
              <w:spacing w:line="240" w:lineRule="auto"/>
              <w:jc w:val="center"/>
              <w:rPr>
                <w:rFonts w:ascii="Times New Roman" w:hAnsi="Times New Roman" w:cs="Times New Roman"/>
              </w:rPr>
            </w:pPr>
            <w:r>
              <w:rPr>
                <w:rFonts w:ascii="Times New Roman" w:hAnsi="Times New Roman" w:cs="Times New Roman"/>
              </w:rPr>
              <w:t>（100）</w:t>
            </w:r>
          </w:p>
        </w:tc>
        <w:tc>
          <w:tcPr>
            <w:tcW w:w="69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评审要点及说明</w:t>
            </w:r>
          </w:p>
        </w:tc>
      </w:tr>
      <w:tr>
        <w:tblPrEx>
          <w:tblCellMar>
            <w:top w:w="0" w:type="dxa"/>
            <w:left w:w="108" w:type="dxa"/>
            <w:bottom w:w="0" w:type="dxa"/>
            <w:right w:w="108" w:type="dxa"/>
          </w:tblCellMar>
        </w:tblPrEx>
        <w:trPr>
          <w:trHeight w:val="1752" w:hRule="atLeast"/>
          <w:jc w:val="center"/>
        </w:trPr>
        <w:tc>
          <w:tcPr>
            <w:tcW w:w="1082"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b/>
                <w:bCs/>
              </w:rPr>
              <w:t>报价得分（30分）</w:t>
            </w:r>
          </w:p>
        </w:tc>
        <w:tc>
          <w:tcPr>
            <w:tcW w:w="9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投标报价</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highlight w:val="yellow"/>
              </w:rPr>
            </w:pPr>
            <w:r>
              <w:rPr>
                <w:rFonts w:ascii="Times New Roman" w:hAnsi="Times New Roman" w:cs="Times New Roman"/>
              </w:rPr>
              <w:t>30</w:t>
            </w:r>
          </w:p>
        </w:tc>
        <w:tc>
          <w:tcPr>
            <w:tcW w:w="69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240" w:lineRule="auto"/>
              <w:rPr>
                <w:rFonts w:ascii="Times New Roman" w:hAnsi="Times New Roman" w:cs="Times New Roman"/>
                <w:szCs w:val="21"/>
              </w:rPr>
            </w:pPr>
            <w:r>
              <w:rPr>
                <w:rFonts w:ascii="Times New Roman" w:hAnsi="Times New Roman" w:cs="Times New Roman"/>
                <w:szCs w:val="21"/>
              </w:rPr>
              <w:t>评分采用基准价法，即以满足招标文件要求且投标总价最低的投标报价为评标基准价。</w:t>
            </w:r>
          </w:p>
          <w:p>
            <w:pPr>
              <w:spacing w:line="240" w:lineRule="auto"/>
              <w:ind w:firstLine="420" w:firstLineChars="200"/>
              <w:rPr>
                <w:rFonts w:ascii="Times New Roman" w:hAnsi="Times New Roman" w:cs="Times New Roman"/>
              </w:rPr>
            </w:pPr>
            <w:r>
              <w:rPr>
                <w:rFonts w:ascii="Times New Roman" w:hAnsi="Times New Roman" w:cs="Times New Roman"/>
                <w:szCs w:val="21"/>
              </w:rPr>
              <w:t>投标总价（合计）为每个标包</w:t>
            </w:r>
            <w:r>
              <w:rPr>
                <w:rFonts w:hint="eastAsia" w:ascii="Times New Roman" w:hAnsi="Times New Roman" w:cs="Times New Roman"/>
                <w:b/>
                <w:bCs/>
                <w:szCs w:val="21"/>
                <w:lang w:val="en-US" w:eastAsia="zh-CN"/>
              </w:rPr>
              <w:t>采购需求（附件3）</w:t>
            </w:r>
            <w:r>
              <w:rPr>
                <w:rFonts w:hint="eastAsia" w:ascii="Times New Roman" w:hAnsi="Times New Roman" w:cs="Times New Roman"/>
                <w:b w:val="0"/>
                <w:bCs w:val="0"/>
                <w:szCs w:val="21"/>
                <w:lang w:val="en-US" w:eastAsia="zh-CN"/>
              </w:rPr>
              <w:t>中</w:t>
            </w:r>
            <w:r>
              <w:rPr>
                <w:rFonts w:ascii="Times New Roman" w:hAnsi="Times New Roman" w:cs="Times New Roman"/>
                <w:szCs w:val="21"/>
              </w:rPr>
              <w:t>的所有产品所报单价之和。计算总价时，若投标人有产品未报价，按招标人预算单价为投标人该项产品的所报单价计算总价</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新增、补充项目及同类产品不同规格型号不计入</w:t>
            </w:r>
            <w:r>
              <w:rPr>
                <w:rFonts w:ascii="Times New Roman" w:hAnsi="Times New Roman" w:cs="Times New Roman"/>
                <w:szCs w:val="21"/>
              </w:rPr>
              <w:t>单价之和</w:t>
            </w:r>
            <w:r>
              <w:rPr>
                <w:rFonts w:hint="eastAsia" w:ascii="Times New Roman" w:hAnsi="Times New Roman" w:cs="Times New Roman"/>
                <w:szCs w:val="21"/>
                <w:lang w:eastAsia="zh-CN"/>
              </w:rPr>
              <w:t>）</w:t>
            </w:r>
            <w:r>
              <w:rPr>
                <w:rFonts w:ascii="Times New Roman" w:hAnsi="Times New Roman" w:cs="Times New Roman"/>
                <w:szCs w:val="21"/>
              </w:rPr>
              <w:t>。</w:t>
            </w:r>
          </w:p>
        </w:tc>
      </w:tr>
      <w:tr>
        <w:tblPrEx>
          <w:tblCellMar>
            <w:top w:w="0" w:type="dxa"/>
            <w:left w:w="108" w:type="dxa"/>
            <w:bottom w:w="0" w:type="dxa"/>
            <w:right w:w="108" w:type="dxa"/>
          </w:tblCellMar>
        </w:tblPrEx>
        <w:trPr>
          <w:trHeight w:val="1090" w:hRule="atLeast"/>
          <w:jc w:val="center"/>
        </w:trPr>
        <w:tc>
          <w:tcPr>
            <w:tcW w:w="1082"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b/>
                <w:bCs/>
              </w:rPr>
            </w:pPr>
            <w:r>
              <w:rPr>
                <w:rFonts w:ascii="Times New Roman" w:hAnsi="Times New Roman" w:cs="Times New Roman"/>
                <w:b/>
                <w:bCs/>
              </w:rPr>
              <w:t>技术及商务部分（70分）</w:t>
            </w:r>
          </w:p>
        </w:tc>
        <w:tc>
          <w:tcPr>
            <w:tcW w:w="9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bCs/>
              </w:rPr>
              <w:t>产品的品种齐全度</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15</w:t>
            </w:r>
          </w:p>
        </w:tc>
        <w:tc>
          <w:tcPr>
            <w:tcW w:w="69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26"/>
              </w:tabs>
              <w:adjustRightInd w:val="0"/>
              <w:snapToGrid w:val="0"/>
              <w:spacing w:line="240" w:lineRule="auto"/>
              <w:rPr>
                <w:rFonts w:ascii="Times New Roman" w:hAnsi="Times New Roman" w:cs="Times New Roman"/>
              </w:rPr>
            </w:pPr>
            <w:r>
              <w:rPr>
                <w:rFonts w:ascii="Times New Roman" w:hAnsi="Times New Roman" w:cs="Times New Roman"/>
              </w:rPr>
              <w:t>依据采购公告附件《采购需求》及投标（响应）人的响应文件报价明细表（电子版EXCEL）的响应情况，每有一项缺项漏项扣1分，本项共计15分，扣完为止。</w:t>
            </w:r>
          </w:p>
        </w:tc>
      </w:tr>
      <w:tr>
        <w:tblPrEx>
          <w:tblCellMar>
            <w:top w:w="0" w:type="dxa"/>
            <w:left w:w="108" w:type="dxa"/>
            <w:bottom w:w="0" w:type="dxa"/>
            <w:right w:w="108" w:type="dxa"/>
          </w:tblCellMar>
        </w:tblPrEx>
        <w:trPr>
          <w:trHeight w:val="90" w:hRule="atLeast"/>
          <w:jc w:val="center"/>
        </w:trPr>
        <w:tc>
          <w:tcPr>
            <w:tcW w:w="1082" w:type="dxa"/>
            <w:vMerge w:val="continue"/>
            <w:tcBorders>
              <w:left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b/>
                <w:bCs/>
              </w:rPr>
            </w:pPr>
          </w:p>
        </w:tc>
        <w:tc>
          <w:tcPr>
            <w:tcW w:w="9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bCs/>
              </w:rPr>
            </w:pPr>
            <w:r>
              <w:rPr>
                <w:rFonts w:ascii="Times New Roman" w:hAnsi="Times New Roman" w:cs="Times New Roman"/>
              </w:rPr>
              <w:t>产品质量及技术保障</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33</w:t>
            </w:r>
          </w:p>
        </w:tc>
        <w:tc>
          <w:tcPr>
            <w:tcW w:w="69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rPr>
                <w:rFonts w:ascii="Times New Roman" w:hAnsi="Times New Roman" w:cs="Times New Roman"/>
              </w:rPr>
            </w:pPr>
            <w:r>
              <w:rPr>
                <w:rFonts w:ascii="Times New Roman" w:hAnsi="Times New Roman" w:cs="Times New Roman"/>
              </w:rPr>
              <w:t>产品质量及技术保障包括：</w:t>
            </w:r>
          </w:p>
          <w:p>
            <w:pPr>
              <w:adjustRightInd w:val="0"/>
              <w:snapToGrid w:val="0"/>
              <w:spacing w:line="240" w:lineRule="auto"/>
              <w:ind w:firstLine="420" w:firstLineChars="200"/>
              <w:rPr>
                <w:rFonts w:ascii="Times New Roman" w:hAnsi="Times New Roman" w:cs="Times New Roman"/>
                <w:szCs w:val="21"/>
              </w:rPr>
            </w:pPr>
            <w:r>
              <w:rPr>
                <w:rFonts w:ascii="Cambria Math" w:hAnsi="Cambria Math" w:cs="Cambria Math"/>
              </w:rPr>
              <w:t>①</w:t>
            </w:r>
            <w:r>
              <w:rPr>
                <w:rFonts w:ascii="Times New Roman" w:hAnsi="Times New Roman" w:cs="Times New Roman"/>
                <w:szCs w:val="21"/>
              </w:rPr>
              <w:t>产品质量证明材料；（9分）（证明材料可以为但不限于检测报告、检测说明书、质量认证等），有缺项、漏项的，每一项扣1分。</w:t>
            </w:r>
          </w:p>
          <w:p>
            <w:pPr>
              <w:adjustRightInd w:val="0"/>
              <w:snapToGrid w:val="0"/>
              <w:spacing w:line="240" w:lineRule="auto"/>
              <w:ind w:firstLine="420" w:firstLineChars="200"/>
              <w:rPr>
                <w:rFonts w:ascii="Times New Roman" w:hAnsi="Times New Roman" w:cs="Times New Roman"/>
                <w:szCs w:val="21"/>
              </w:rPr>
            </w:pPr>
            <w:r>
              <w:rPr>
                <w:rFonts w:ascii="Cambria Math" w:hAnsi="Cambria Math" w:cs="Cambria Math"/>
                <w:szCs w:val="21"/>
              </w:rPr>
              <w:t>②</w:t>
            </w:r>
            <w:r>
              <w:rPr>
                <w:rFonts w:ascii="Times New Roman" w:hAnsi="Times New Roman" w:cs="Times New Roman"/>
                <w:szCs w:val="21"/>
              </w:rPr>
              <w:t>产品质量违约承诺及保证措施；（6分）违约承诺及保证措施，但不具体、针对性不强、有本项目关联性不大，有缺陷的扣4分。</w:t>
            </w:r>
          </w:p>
          <w:p>
            <w:pPr>
              <w:adjustRightInd w:val="0"/>
              <w:snapToGrid w:val="0"/>
              <w:spacing w:line="240" w:lineRule="auto"/>
              <w:ind w:firstLine="420" w:firstLineChars="200"/>
              <w:rPr>
                <w:rFonts w:ascii="Times New Roman" w:hAnsi="Times New Roman" w:cs="Times New Roman"/>
                <w:szCs w:val="21"/>
              </w:rPr>
            </w:pPr>
            <w:r>
              <w:rPr>
                <w:rFonts w:ascii="Cambria Math" w:hAnsi="Cambria Math" w:cs="Cambria Math"/>
                <w:szCs w:val="21"/>
              </w:rPr>
              <w:t>③</w:t>
            </w:r>
            <w:r>
              <w:rPr>
                <w:rFonts w:ascii="Times New Roman" w:hAnsi="Times New Roman" w:cs="Times New Roman"/>
                <w:szCs w:val="21"/>
              </w:rPr>
              <w:t>临床使用反馈（包括但不限于市场情况、不良事件、可操作性、患者的疗效（体验）、术后并发症等多方面评价）（18分）。优（18分）、良（10分）、不了解（5分）。</w:t>
            </w:r>
          </w:p>
          <w:p>
            <w:pPr>
              <w:adjustRightInd w:val="0"/>
              <w:snapToGrid w:val="0"/>
              <w:spacing w:line="240" w:lineRule="auto"/>
              <w:rPr>
                <w:rFonts w:ascii="Times New Roman" w:hAnsi="Times New Roman" w:cs="Times New Roman"/>
              </w:rPr>
            </w:pPr>
            <w:r>
              <w:rPr>
                <w:rFonts w:ascii="Times New Roman" w:hAnsi="Times New Roman" w:cs="Times New Roman"/>
                <w:szCs w:val="21"/>
              </w:rPr>
              <w:t>评分标准：根据上述内容有评标委员会成员共同认定，进行综合评审。</w:t>
            </w:r>
          </w:p>
        </w:tc>
      </w:tr>
      <w:tr>
        <w:tblPrEx>
          <w:tblCellMar>
            <w:top w:w="0" w:type="dxa"/>
            <w:left w:w="108" w:type="dxa"/>
            <w:bottom w:w="0" w:type="dxa"/>
            <w:right w:w="108" w:type="dxa"/>
          </w:tblCellMar>
        </w:tblPrEx>
        <w:trPr>
          <w:trHeight w:val="90" w:hRule="atLeast"/>
          <w:jc w:val="center"/>
        </w:trPr>
        <w:tc>
          <w:tcPr>
            <w:tcW w:w="1082" w:type="dxa"/>
            <w:vMerge w:val="continue"/>
            <w:tcBorders>
              <w:left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b/>
                <w:bCs/>
              </w:rPr>
            </w:pPr>
          </w:p>
        </w:tc>
        <w:tc>
          <w:tcPr>
            <w:tcW w:w="9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bCs/>
              </w:rPr>
            </w:pPr>
            <w:r>
              <w:rPr>
                <w:rFonts w:ascii="Times New Roman" w:hAnsi="Times New Roman" w:cs="Times New Roman"/>
                <w:bCs/>
              </w:rPr>
              <w:t>样品评审</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10</w:t>
            </w:r>
          </w:p>
        </w:tc>
        <w:tc>
          <w:tcPr>
            <w:tcW w:w="69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10"/>
              <w:numPr>
                <w:ilvl w:val="0"/>
                <w:numId w:val="2"/>
              </w:numPr>
              <w:adjustRightInd w:val="0"/>
              <w:snapToGrid w:val="0"/>
              <w:spacing w:line="240" w:lineRule="auto"/>
              <w:ind w:firstLineChars="0"/>
              <w:rPr>
                <w:rFonts w:ascii="Times New Roman" w:hAnsi="Times New Roman" w:cs="Times New Roman"/>
              </w:rPr>
            </w:pPr>
            <w:r>
              <w:rPr>
                <w:rFonts w:ascii="Times New Roman" w:hAnsi="Times New Roman" w:cs="Times New Roman"/>
              </w:rPr>
              <w:t xml:space="preserve">样品需从技术参数规格齐全度、用途和性能等要求，产品相关注册商标及型号规格标示清晰、符合国家及产品相关标准，完全满足采购人需求的，得10分； </w:t>
            </w:r>
          </w:p>
          <w:p>
            <w:pPr>
              <w:adjustRightInd w:val="0"/>
              <w:snapToGrid w:val="0"/>
              <w:spacing w:line="240" w:lineRule="auto"/>
              <w:rPr>
                <w:rFonts w:ascii="Times New Roman" w:hAnsi="Times New Roman" w:cs="Times New Roman"/>
              </w:rPr>
            </w:pPr>
            <w:r>
              <w:rPr>
                <w:rFonts w:ascii="Cambria Math" w:hAnsi="Cambria Math" w:cs="Cambria Math"/>
              </w:rPr>
              <w:t>②</w:t>
            </w:r>
            <w:r>
              <w:rPr>
                <w:rFonts w:ascii="Times New Roman" w:hAnsi="Times New Roman" w:cs="Times New Roman"/>
              </w:rPr>
              <w:t>有1项产品不满足临床使用需求的，扣2分，本项共计10分；</w:t>
            </w:r>
          </w:p>
        </w:tc>
      </w:tr>
      <w:tr>
        <w:tblPrEx>
          <w:tblCellMar>
            <w:top w:w="0" w:type="dxa"/>
            <w:left w:w="108" w:type="dxa"/>
            <w:bottom w:w="0" w:type="dxa"/>
            <w:right w:w="108" w:type="dxa"/>
          </w:tblCellMar>
        </w:tblPrEx>
        <w:trPr>
          <w:trHeight w:val="273" w:hRule="atLeast"/>
          <w:jc w:val="center"/>
        </w:trPr>
        <w:tc>
          <w:tcPr>
            <w:tcW w:w="1082" w:type="dxa"/>
            <w:vMerge w:val="continue"/>
            <w:tcBorders>
              <w:left w:val="single" w:color="000000"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rPr>
            </w:pPr>
            <w:bookmarkStart w:id="0" w:name="_Hlk160718666"/>
          </w:p>
        </w:tc>
        <w:tc>
          <w:tcPr>
            <w:tcW w:w="9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adjustRightInd w:val="0"/>
              <w:snapToGrid w:val="0"/>
              <w:spacing w:line="240" w:lineRule="auto"/>
              <w:jc w:val="center"/>
              <w:rPr>
                <w:rFonts w:ascii="Times New Roman" w:hAnsi="Times New Roman" w:cs="Times New Roman"/>
              </w:rPr>
            </w:pPr>
            <w:r>
              <w:rPr>
                <w:rFonts w:ascii="Times New Roman" w:hAnsi="Times New Roman" w:eastAsia="宋体" w:cs="Times New Roman"/>
                <w:szCs w:val="21"/>
              </w:rPr>
              <w:t>产品来源、</w:t>
            </w:r>
            <w:r>
              <w:rPr>
                <w:rFonts w:ascii="Times New Roman" w:hAnsi="Times New Roman" w:cs="Times New Roman"/>
                <w:bCs/>
              </w:rPr>
              <w:t>供货能力及售后服务</w:t>
            </w:r>
          </w:p>
        </w:tc>
        <w:tc>
          <w:tcPr>
            <w:tcW w:w="102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10</w:t>
            </w:r>
          </w:p>
        </w:tc>
        <w:tc>
          <w:tcPr>
            <w:tcW w:w="69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adjustRightInd w:val="0"/>
              <w:snapToGrid w:val="0"/>
              <w:spacing w:line="240" w:lineRule="auto"/>
              <w:rPr>
                <w:rFonts w:ascii="Times New Roman" w:hAnsi="Times New Roman" w:cs="Times New Roman"/>
                <w:bCs/>
              </w:rPr>
            </w:pPr>
            <w:r>
              <w:rPr>
                <w:rFonts w:ascii="Times New Roman" w:hAnsi="Times New Roman" w:cs="Times New Roman"/>
                <w:bCs/>
              </w:rPr>
              <w:t>投标人需对售后服务方案进行描述，包括（但不限于）以下内容：</w:t>
            </w:r>
          </w:p>
          <w:p>
            <w:pPr>
              <w:adjustRightInd w:val="0"/>
              <w:snapToGrid w:val="0"/>
              <w:spacing w:line="240" w:lineRule="auto"/>
              <w:rPr>
                <w:rFonts w:ascii="Times New Roman" w:hAnsi="Times New Roman" w:cs="Times New Roman"/>
                <w:bCs/>
              </w:rPr>
            </w:pPr>
            <w:r>
              <w:rPr>
                <w:rFonts w:ascii="Cambria Math" w:hAnsi="Cambria Math" w:cs="Cambria Math"/>
                <w:bCs/>
              </w:rPr>
              <w:t>①</w:t>
            </w:r>
            <w:r>
              <w:rPr>
                <w:rFonts w:ascii="Times New Roman" w:hAnsi="Times New Roman" w:eastAsia="宋体" w:cs="Times New Roman"/>
                <w:szCs w:val="21"/>
              </w:rPr>
              <w:t>产品来源</w:t>
            </w:r>
            <w:r>
              <w:rPr>
                <w:rFonts w:hint="eastAsia" w:ascii="Times New Roman" w:hAnsi="Times New Roman" w:eastAsia="宋体" w:cs="Times New Roman"/>
                <w:szCs w:val="21"/>
                <w:lang w:eastAsia="zh-CN"/>
              </w:rPr>
              <w:t>、</w:t>
            </w:r>
            <w:bookmarkStart w:id="1" w:name="_GoBack"/>
            <w:bookmarkEnd w:id="1"/>
            <w:r>
              <w:rPr>
                <w:rFonts w:ascii="Times New Roman" w:hAnsi="Times New Roman" w:cs="Times New Roman"/>
                <w:bCs/>
              </w:rPr>
              <w:t>供货能力、</w:t>
            </w:r>
            <w:r>
              <w:rPr>
                <w:rFonts w:ascii="Times New Roman" w:hAnsi="Times New Roman" w:eastAsia="宋体" w:cs="Times New Roman"/>
                <w:szCs w:val="21"/>
              </w:rPr>
              <w:t>仓储能力等</w:t>
            </w:r>
            <w:r>
              <w:rPr>
                <w:rFonts w:ascii="Times New Roman" w:hAnsi="Times New Roman" w:cs="Times New Roman"/>
                <w:bCs/>
              </w:rPr>
              <w:t>安排、退换货及近效期管理方案；</w:t>
            </w:r>
          </w:p>
          <w:p>
            <w:pPr>
              <w:adjustRightInd w:val="0"/>
              <w:snapToGrid w:val="0"/>
              <w:spacing w:line="240" w:lineRule="auto"/>
              <w:rPr>
                <w:rFonts w:ascii="Times New Roman" w:hAnsi="Times New Roman" w:cs="Times New Roman"/>
                <w:bCs/>
              </w:rPr>
            </w:pPr>
            <w:r>
              <w:rPr>
                <w:rFonts w:ascii="Cambria Math" w:hAnsi="Cambria Math" w:cs="Cambria Math"/>
                <w:bCs/>
              </w:rPr>
              <w:t>②</w:t>
            </w:r>
            <w:r>
              <w:rPr>
                <w:rFonts w:ascii="Times New Roman" w:hAnsi="Times New Roman" w:cs="Times New Roman"/>
                <w:bCs/>
              </w:rPr>
              <w:t>应急供货（应急处理）服务方案；</w:t>
            </w:r>
          </w:p>
          <w:p>
            <w:pPr>
              <w:adjustRightInd w:val="0"/>
              <w:snapToGrid w:val="0"/>
              <w:spacing w:line="240" w:lineRule="auto"/>
              <w:rPr>
                <w:rFonts w:ascii="Times New Roman" w:hAnsi="Times New Roman" w:cs="Times New Roman"/>
                <w:bCs/>
              </w:rPr>
            </w:pPr>
            <w:r>
              <w:rPr>
                <w:rFonts w:ascii="Cambria Math" w:hAnsi="Cambria Math" w:cs="Cambria Math"/>
                <w:bCs/>
              </w:rPr>
              <w:t>③</w:t>
            </w:r>
            <w:r>
              <w:rPr>
                <w:rFonts w:ascii="Times New Roman" w:hAnsi="Times New Roman" w:cs="Times New Roman"/>
                <w:bCs/>
              </w:rPr>
              <w:t>产品配套及技术支持方案；</w:t>
            </w:r>
          </w:p>
          <w:p>
            <w:pPr>
              <w:adjustRightInd w:val="0"/>
              <w:snapToGrid w:val="0"/>
              <w:spacing w:line="240" w:lineRule="auto"/>
              <w:rPr>
                <w:rFonts w:ascii="Times New Roman" w:hAnsi="Times New Roman" w:cs="Times New Roman"/>
                <w:bCs/>
              </w:rPr>
            </w:pPr>
            <w:r>
              <w:rPr>
                <w:rFonts w:ascii="Cambria Math" w:hAnsi="Cambria Math" w:cs="Cambria Math"/>
                <w:bCs/>
              </w:rPr>
              <w:t>④</w:t>
            </w:r>
            <w:r>
              <w:rPr>
                <w:rFonts w:ascii="Times New Roman" w:hAnsi="Times New Roman" w:cs="Times New Roman"/>
                <w:bCs/>
              </w:rPr>
              <w:t>培训方案及不良事件解决方案；</w:t>
            </w:r>
          </w:p>
          <w:p>
            <w:pPr>
              <w:adjustRightInd w:val="0"/>
              <w:snapToGrid w:val="0"/>
              <w:spacing w:line="240" w:lineRule="auto"/>
              <w:rPr>
                <w:rFonts w:ascii="Times New Roman" w:hAnsi="Times New Roman" w:cs="Times New Roman"/>
                <w:bCs/>
              </w:rPr>
            </w:pPr>
            <w:r>
              <w:rPr>
                <w:rFonts w:ascii="Cambria Math" w:hAnsi="Cambria Math" w:cs="Cambria Math"/>
                <w:bCs/>
              </w:rPr>
              <w:t>⑤</w:t>
            </w:r>
            <w:r>
              <w:rPr>
                <w:rFonts w:ascii="Times New Roman" w:hAnsi="Times New Roman" w:cs="Times New Roman"/>
                <w:bCs/>
              </w:rPr>
              <w:t>违约承诺（产品质量违约承诺、供货及时性违约承诺及满足需求的完整性违约承诺）。</w:t>
            </w:r>
          </w:p>
          <w:p>
            <w:pPr>
              <w:adjustRightInd w:val="0"/>
              <w:snapToGrid w:val="0"/>
              <w:spacing w:line="240" w:lineRule="auto"/>
              <w:rPr>
                <w:rFonts w:ascii="Times New Roman" w:hAnsi="Times New Roman" w:cs="Times New Roman"/>
              </w:rPr>
            </w:pPr>
            <w:r>
              <w:rPr>
                <w:rFonts w:ascii="Times New Roman" w:hAnsi="Times New Roman" w:cs="Times New Roman"/>
                <w:bCs/>
              </w:rPr>
              <w:t>以上 5项内容，评审委员会根据投标（响应）人投标（响应）文件内容对采购文件响应程度赋分：所有内容表述完整、逻辑清晰及合理可行、与采购人的实际需求</w:t>
            </w:r>
            <w:r>
              <w:rPr>
                <w:rFonts w:hint="eastAsia" w:ascii="Times New Roman" w:hAnsi="Times New Roman" w:cs="Times New Roman"/>
                <w:bCs/>
              </w:rPr>
              <w:t>及采购项目</w:t>
            </w:r>
            <w:r>
              <w:rPr>
                <w:rFonts w:ascii="Times New Roman" w:hAnsi="Times New Roman" w:cs="Times New Roman"/>
                <w:bCs/>
              </w:rPr>
              <w:t>响应度高的得 10 分，每有1项缺项漏项的扣 2 分，不具备针对性的扣 1 分（不具备针对是指各项从完整性、合理性、可行性等角度综合评审）。</w:t>
            </w:r>
          </w:p>
        </w:tc>
      </w:tr>
      <w:tr>
        <w:tblPrEx>
          <w:tblCellMar>
            <w:top w:w="0" w:type="dxa"/>
            <w:left w:w="108" w:type="dxa"/>
            <w:bottom w:w="0" w:type="dxa"/>
            <w:right w:w="108" w:type="dxa"/>
          </w:tblCellMar>
        </w:tblPrEx>
        <w:trPr>
          <w:trHeight w:val="1237" w:hRule="atLeast"/>
          <w:jc w:val="center"/>
        </w:trPr>
        <w:tc>
          <w:tcPr>
            <w:tcW w:w="1082" w:type="dxa"/>
            <w:vMerge w:val="continue"/>
            <w:tcBorders>
              <w:left w:val="single" w:color="000000" w:sz="4" w:space="0"/>
              <w:bottom w:val="single" w:color="auto" w:sz="4" w:space="0"/>
              <w:right w:val="single" w:color="000000" w:sz="4" w:space="0"/>
            </w:tcBorders>
            <w:shd w:val="clear" w:color="000000" w:fill="FFFFFF"/>
            <w:tcMar>
              <w:left w:w="108" w:type="dxa"/>
              <w:right w:w="108" w:type="dxa"/>
            </w:tcMar>
            <w:vAlign w:val="center"/>
          </w:tcPr>
          <w:p>
            <w:pPr>
              <w:adjustRightInd w:val="0"/>
              <w:snapToGrid w:val="0"/>
              <w:spacing w:line="240" w:lineRule="auto"/>
              <w:jc w:val="center"/>
              <w:rPr>
                <w:rFonts w:ascii="Times New Roman" w:hAnsi="Times New Roman" w:cs="Times New Roman"/>
              </w:rPr>
            </w:pPr>
          </w:p>
        </w:tc>
        <w:tc>
          <w:tcPr>
            <w:tcW w:w="9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bCs/>
              </w:rPr>
              <w:t>业绩</w:t>
            </w:r>
          </w:p>
        </w:tc>
        <w:tc>
          <w:tcPr>
            <w:tcW w:w="102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2</w:t>
            </w:r>
          </w:p>
        </w:tc>
        <w:tc>
          <w:tcPr>
            <w:tcW w:w="69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adjustRightInd w:val="0"/>
              <w:snapToGrid w:val="0"/>
              <w:spacing w:line="240" w:lineRule="auto"/>
              <w:contextualSpacing/>
              <w:rPr>
                <w:rFonts w:ascii="Times New Roman" w:hAnsi="Times New Roman" w:cs="Times New Roman"/>
              </w:rPr>
            </w:pPr>
            <w:r>
              <w:rPr>
                <w:rFonts w:ascii="Times New Roman" w:hAnsi="Times New Roman" w:cs="Times New Roman"/>
              </w:rPr>
              <w:t>2022年1月1日至今投标人每承接过1项类似业绩（该标包同类别医用耗材试剂）的得1分，分数加满为止。</w:t>
            </w:r>
          </w:p>
          <w:p>
            <w:pPr>
              <w:adjustRightInd w:val="0"/>
              <w:snapToGrid w:val="0"/>
              <w:spacing w:line="240" w:lineRule="auto"/>
              <w:rPr>
                <w:rFonts w:ascii="Times New Roman" w:hAnsi="Times New Roman" w:cs="Times New Roman"/>
              </w:rPr>
            </w:pPr>
            <w:r>
              <w:rPr>
                <w:rFonts w:ascii="Times New Roman" w:hAnsi="Times New Roman" w:cs="Times New Roman"/>
              </w:rPr>
              <w:t>注：投标文件中附合同复印件加盖公章，合同复印件中不得将价格遮挡，否则不得分。合同内容需有具体品目或者能体现合同内容的字样，包含合同首页、签字页，能够体现合同的签署时间等内容。</w:t>
            </w:r>
          </w:p>
        </w:tc>
      </w:tr>
      <w:bookmarkEnd w:id="0"/>
    </w:tbl>
    <w:p>
      <w:pPr>
        <w:rPr>
          <w:rFonts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BD498"/>
    <w:multiLevelType w:val="singleLevel"/>
    <w:tmpl w:val="C47BD498"/>
    <w:lvl w:ilvl="0" w:tentative="0">
      <w:start w:val="1"/>
      <w:numFmt w:val="chineseCounting"/>
      <w:suff w:val="nothing"/>
      <w:lvlText w:val="%1、"/>
      <w:lvlJc w:val="left"/>
      <w:rPr>
        <w:rFonts w:hint="eastAsia"/>
      </w:rPr>
    </w:lvl>
  </w:abstractNum>
  <w:abstractNum w:abstractNumId="1">
    <w:nsid w:val="01FE23EA"/>
    <w:multiLevelType w:val="multilevel"/>
    <w:tmpl w:val="01FE23E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D2F0B9C"/>
    <w:rsid w:val="00010925"/>
    <w:rsid w:val="00010BCE"/>
    <w:rsid w:val="00022E11"/>
    <w:rsid w:val="00032CB4"/>
    <w:rsid w:val="000460C7"/>
    <w:rsid w:val="00063937"/>
    <w:rsid w:val="0009397A"/>
    <w:rsid w:val="000A7D1C"/>
    <w:rsid w:val="000E6BBD"/>
    <w:rsid w:val="001221C6"/>
    <w:rsid w:val="00145F87"/>
    <w:rsid w:val="00153D17"/>
    <w:rsid w:val="00165D3F"/>
    <w:rsid w:val="001905F9"/>
    <w:rsid w:val="001C4E03"/>
    <w:rsid w:val="001D124B"/>
    <w:rsid w:val="001D7766"/>
    <w:rsid w:val="001E2CD7"/>
    <w:rsid w:val="0026436F"/>
    <w:rsid w:val="002C4763"/>
    <w:rsid w:val="002C4F64"/>
    <w:rsid w:val="002F557D"/>
    <w:rsid w:val="0032135C"/>
    <w:rsid w:val="0034187C"/>
    <w:rsid w:val="00362C0B"/>
    <w:rsid w:val="003E174F"/>
    <w:rsid w:val="003E59AC"/>
    <w:rsid w:val="003F72F6"/>
    <w:rsid w:val="00410522"/>
    <w:rsid w:val="004111B9"/>
    <w:rsid w:val="0043028F"/>
    <w:rsid w:val="00441075"/>
    <w:rsid w:val="0049743D"/>
    <w:rsid w:val="004B363E"/>
    <w:rsid w:val="00506527"/>
    <w:rsid w:val="005129E8"/>
    <w:rsid w:val="005168B9"/>
    <w:rsid w:val="005345EA"/>
    <w:rsid w:val="00541AED"/>
    <w:rsid w:val="00556703"/>
    <w:rsid w:val="00557746"/>
    <w:rsid w:val="005A334E"/>
    <w:rsid w:val="005D2CA6"/>
    <w:rsid w:val="005D57DB"/>
    <w:rsid w:val="005E5287"/>
    <w:rsid w:val="006204B8"/>
    <w:rsid w:val="006425D9"/>
    <w:rsid w:val="00691E9C"/>
    <w:rsid w:val="006D4467"/>
    <w:rsid w:val="006F52FB"/>
    <w:rsid w:val="0070418C"/>
    <w:rsid w:val="00726628"/>
    <w:rsid w:val="00733F85"/>
    <w:rsid w:val="007A3F95"/>
    <w:rsid w:val="007C33E2"/>
    <w:rsid w:val="007C5CCD"/>
    <w:rsid w:val="007F35AD"/>
    <w:rsid w:val="00807D11"/>
    <w:rsid w:val="0082026E"/>
    <w:rsid w:val="00850959"/>
    <w:rsid w:val="00861BE4"/>
    <w:rsid w:val="008818BC"/>
    <w:rsid w:val="008A72DB"/>
    <w:rsid w:val="009049DD"/>
    <w:rsid w:val="009167A7"/>
    <w:rsid w:val="00943A33"/>
    <w:rsid w:val="00975A89"/>
    <w:rsid w:val="00982D97"/>
    <w:rsid w:val="00984F25"/>
    <w:rsid w:val="00993386"/>
    <w:rsid w:val="009935BF"/>
    <w:rsid w:val="009B7060"/>
    <w:rsid w:val="009C6AEA"/>
    <w:rsid w:val="009D6986"/>
    <w:rsid w:val="00A052E3"/>
    <w:rsid w:val="00A217FC"/>
    <w:rsid w:val="00A24A86"/>
    <w:rsid w:val="00A60E73"/>
    <w:rsid w:val="00A63EAC"/>
    <w:rsid w:val="00A67E5B"/>
    <w:rsid w:val="00A70D5D"/>
    <w:rsid w:val="00AB40D2"/>
    <w:rsid w:val="00AC46E4"/>
    <w:rsid w:val="00AD4CFB"/>
    <w:rsid w:val="00AD6F56"/>
    <w:rsid w:val="00AE5DCA"/>
    <w:rsid w:val="00B26486"/>
    <w:rsid w:val="00B316DB"/>
    <w:rsid w:val="00B51ACB"/>
    <w:rsid w:val="00B61115"/>
    <w:rsid w:val="00B877FF"/>
    <w:rsid w:val="00B87F0E"/>
    <w:rsid w:val="00B969E4"/>
    <w:rsid w:val="00BA3542"/>
    <w:rsid w:val="00C010ED"/>
    <w:rsid w:val="00C102A4"/>
    <w:rsid w:val="00C301B9"/>
    <w:rsid w:val="00C770A7"/>
    <w:rsid w:val="00CB0F9B"/>
    <w:rsid w:val="00CB7BB2"/>
    <w:rsid w:val="00CC4C4C"/>
    <w:rsid w:val="00CE1819"/>
    <w:rsid w:val="00CE5E11"/>
    <w:rsid w:val="00D12599"/>
    <w:rsid w:val="00D36860"/>
    <w:rsid w:val="00D45705"/>
    <w:rsid w:val="00D6362B"/>
    <w:rsid w:val="00D63A6A"/>
    <w:rsid w:val="00D76ED5"/>
    <w:rsid w:val="00D83FBE"/>
    <w:rsid w:val="00DD2408"/>
    <w:rsid w:val="00DE2ADE"/>
    <w:rsid w:val="00DF4E06"/>
    <w:rsid w:val="00E23EEA"/>
    <w:rsid w:val="00E323FD"/>
    <w:rsid w:val="00E34A46"/>
    <w:rsid w:val="00E41616"/>
    <w:rsid w:val="00E659E6"/>
    <w:rsid w:val="00E7205C"/>
    <w:rsid w:val="00E811ED"/>
    <w:rsid w:val="00EB0DD5"/>
    <w:rsid w:val="00EB3442"/>
    <w:rsid w:val="00EF3915"/>
    <w:rsid w:val="00F3778F"/>
    <w:rsid w:val="00F6082C"/>
    <w:rsid w:val="00F82ABE"/>
    <w:rsid w:val="00F94339"/>
    <w:rsid w:val="00FA2604"/>
    <w:rsid w:val="00FC70DA"/>
    <w:rsid w:val="00FD0AA4"/>
    <w:rsid w:val="00FF43F1"/>
    <w:rsid w:val="00FF6C75"/>
    <w:rsid w:val="017B65FA"/>
    <w:rsid w:val="01A103E9"/>
    <w:rsid w:val="031F252E"/>
    <w:rsid w:val="03564C06"/>
    <w:rsid w:val="091D4A82"/>
    <w:rsid w:val="0B94510B"/>
    <w:rsid w:val="0E79524F"/>
    <w:rsid w:val="0FF71E3C"/>
    <w:rsid w:val="11D64DF2"/>
    <w:rsid w:val="131D4A00"/>
    <w:rsid w:val="140F24AF"/>
    <w:rsid w:val="14950344"/>
    <w:rsid w:val="1F1D5B17"/>
    <w:rsid w:val="21950341"/>
    <w:rsid w:val="242B6178"/>
    <w:rsid w:val="24532A74"/>
    <w:rsid w:val="26CF203B"/>
    <w:rsid w:val="29311825"/>
    <w:rsid w:val="29E37FC4"/>
    <w:rsid w:val="2AFF5299"/>
    <w:rsid w:val="2B357971"/>
    <w:rsid w:val="2D490D37"/>
    <w:rsid w:val="2D946557"/>
    <w:rsid w:val="2FCA6176"/>
    <w:rsid w:val="394079FC"/>
    <w:rsid w:val="3A255BB8"/>
    <w:rsid w:val="3B25439A"/>
    <w:rsid w:val="402334C8"/>
    <w:rsid w:val="43F026AF"/>
    <w:rsid w:val="43F16B09"/>
    <w:rsid w:val="4CAF6339"/>
    <w:rsid w:val="4D2F0B9C"/>
    <w:rsid w:val="53342E77"/>
    <w:rsid w:val="561730AC"/>
    <w:rsid w:val="5A021008"/>
    <w:rsid w:val="5F0720F8"/>
    <w:rsid w:val="666E2C0A"/>
    <w:rsid w:val="67367DE4"/>
    <w:rsid w:val="7A6965DE"/>
    <w:rsid w:val="7B427582"/>
    <w:rsid w:val="7CEF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9"/>
    <w:qFormat/>
    <w:uiPriority w:val="0"/>
    <w:pPr>
      <w:widowControl/>
      <w:spacing w:after="0" w:line="240" w:lineRule="auto"/>
      <w:jc w:val="left"/>
    </w:pPr>
    <w:rPr>
      <w:rFonts w:ascii="宋体" w:hAnsi="Calibri" w:eastAsia="宋体" w:cs="Times New Roman"/>
      <w:szCs w:val="20"/>
    </w:rPr>
  </w:style>
  <w:style w:type="paragraph" w:styleId="3">
    <w:name w:val="footer"/>
    <w:basedOn w:val="1"/>
    <w:link w:val="8"/>
    <w:qFormat/>
    <w:uiPriority w:val="0"/>
    <w:pPr>
      <w:tabs>
        <w:tab w:val="center" w:pos="4153"/>
        <w:tab w:val="right" w:pos="8306"/>
      </w:tabs>
      <w:snapToGrid w:val="0"/>
      <w:spacing w:line="240" w:lineRule="auto"/>
      <w:jc w:val="left"/>
    </w:pPr>
    <w:rPr>
      <w:sz w:val="18"/>
      <w:szCs w:val="18"/>
    </w:rPr>
  </w:style>
  <w:style w:type="paragraph" w:styleId="4">
    <w:name w:val="header"/>
    <w:basedOn w:val="1"/>
    <w:link w:val="7"/>
    <w:qFormat/>
    <w:uiPriority w:val="0"/>
    <w:pPr>
      <w:tabs>
        <w:tab w:val="center" w:pos="4153"/>
        <w:tab w:val="right" w:pos="8306"/>
      </w:tabs>
      <w:snapToGrid w:val="0"/>
      <w:spacing w:line="240" w:lineRule="auto"/>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纯文本 字符"/>
    <w:basedOn w:val="6"/>
    <w:link w:val="2"/>
    <w:qFormat/>
    <w:uiPriority w:val="0"/>
    <w:rPr>
      <w:rFonts w:ascii="宋体" w:hAnsi="Calibri" w:eastAsia="宋体" w:cs="Times New Roman"/>
      <w:kern w:val="2"/>
      <w:sz w:val="21"/>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2</Pages>
  <Words>202</Words>
  <Characters>1153</Characters>
  <Lines>9</Lines>
  <Paragraphs>2</Paragraphs>
  <TotalTime>0</TotalTime>
  <ScaleCrop>false</ScaleCrop>
  <LinksUpToDate>false</LinksUpToDate>
  <CharactersWithSpaces>1353</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2022-11-23T09:55:00Z</dcterms:created>
  <dc:creator>王薇</dc:creator>
  <cp:lastModifiedBy>果果</cp:lastModifiedBy>
  <dcterms:modified xsi:type="dcterms:W3CDTF">2025-05-26T02:40:27Z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300FD81B7C174FDC8DE67CE676D67C4C</vt:lpwstr>
  </property>
</Properties>
</file>