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气动取皮刀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气动取皮刀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壹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用于精准获取厚度适宜的皮片，提高皮肤移植存活率和愈合质量；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1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6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主要技术参数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▲要求动力条件：通过压缩干氮或医用压缩空气提供动力；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▲要求手柄重量：＜750G，工作时振动小如静止状态；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▲要求可拆软管：可高温高压消毒；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要求工作转速至少为：4500-6500转/分钟；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要求控制方式：手持式控制，手柄有触点式安全开关；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▲要求取皮厚度至少包含：0-0.75MM，取皮增量：≤0.05MM，取皮厚度调整钮为单边调整，稳定性高，不需经常校准归零；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▲要求取皮宽度至少包含：2.5CM、3.8CM、5.1CM、7.6CM、10.2CM,依靠宽度刀架调节，适合各种取皮需要；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要求消毒方式：手柄可进行高温高压消毒，无需特殊消毒设备；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要求手柄平滑设计容易清洁及保养，养护简便，无需上油维护；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7年（需提供设备铭牌或说明书截图进行证明）；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val="en-US" w:eastAsia="zh-CN"/>
        </w:rPr>
        <w:t>要求整套系统至少包括：手柄1套、气管（软管）1根、消毒盒1套、宽度刀架 4个（1英寸、2英寸、3英寸、4英寸各1个）、减压阀1套、气瓶气管转接头（含气管）1套、刀片2盒（10片/盒）；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16D63070"/>
    <w:rsid w:val="2B722147"/>
    <w:rsid w:val="40B215FA"/>
    <w:rsid w:val="42670BEC"/>
    <w:rsid w:val="4C5857DE"/>
    <w:rsid w:val="68D84EF4"/>
    <w:rsid w:val="71B00B02"/>
    <w:rsid w:val="778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1100</Words>
  <Characters>1150</Characters>
  <Lines>0</Lines>
  <Paragraphs>0</Paragraphs>
  <TotalTime>0</TotalTime>
  <ScaleCrop>false</ScaleCrop>
  <LinksUpToDate>false</LinksUpToDate>
  <CharactersWithSpaces>1151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.乄小了个陈</cp:lastModifiedBy>
  <dcterms:modified xsi:type="dcterms:W3CDTF">2026-05-07T09:05:14Z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