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default" w:ascii="Times New Roman" w:hAnsi="Times New Roman" w:eastAsia="宋体" w:cs="Times New Roman"/>
          <w:b/>
          <w:spacing w:val="-6"/>
          <w:sz w:val="36"/>
          <w:szCs w:val="30"/>
        </w:rPr>
      </w:pPr>
      <w:r>
        <w:rPr>
          <w:rFonts w:hint="default" w:ascii="Times New Roman" w:hAnsi="Times New Roman" w:eastAsia="宋体" w:cs="Times New Roman"/>
          <w:b/>
          <w:spacing w:val="-6"/>
          <w:sz w:val="36"/>
          <w:szCs w:val="30"/>
        </w:rPr>
        <w:t>全自动核酸检测分析仪技术参数</w:t>
      </w:r>
    </w:p>
    <w:p>
      <w:pPr>
        <w:spacing w:line="400" w:lineRule="exact"/>
        <w:jc w:val="center"/>
        <w:rPr>
          <w:rFonts w:hint="default" w:ascii="Times New Roman" w:hAnsi="Times New Roman" w:eastAsia="宋体" w:cs="Times New Roman"/>
          <w:b/>
          <w:spacing w:val="-6"/>
          <w:sz w:val="36"/>
          <w:szCs w:val="30"/>
        </w:rPr>
      </w:pPr>
    </w:p>
    <w:p>
      <w:pPr>
        <w:pStyle w:val="6"/>
        <w:numPr>
          <w:ilvl w:val="0"/>
          <w:numId w:val="1"/>
        </w:numPr>
        <w:spacing w:line="560" w:lineRule="exact"/>
        <w:ind w:firstLineChars="0"/>
        <w:rPr>
          <w:rFonts w:hint="default" w:ascii="Times New Roman" w:hAnsi="Times New Roman" w:eastAsia="宋体" w:cs="Times New Roman"/>
          <w:b/>
          <w:szCs w:val="30"/>
        </w:rPr>
      </w:pPr>
      <w:r>
        <w:rPr>
          <w:rFonts w:hint="default" w:ascii="Times New Roman" w:hAnsi="Times New Roman" w:eastAsia="宋体" w:cs="Times New Roman"/>
          <w:b/>
          <w:szCs w:val="30"/>
          <w:lang w:val="en-US" w:eastAsia="zh-CN"/>
        </w:rPr>
        <w:t>设备名称：</w:t>
      </w:r>
      <w:r>
        <w:rPr>
          <w:rFonts w:hint="eastAsia" w:eastAsia="宋体" w:cs="Times New Roman"/>
          <w:b/>
          <w:szCs w:val="30"/>
          <w:lang w:val="en-US" w:eastAsia="zh-CN"/>
        </w:rPr>
        <w:t>全自动核酸检测分析仪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rPr>
          <w:rFonts w:hint="default" w:ascii="Times New Roman" w:hAnsi="Times New Roman" w:eastAsia="宋体" w:cs="Times New Roman"/>
          <w:b/>
          <w:bCs w:val="0"/>
          <w:szCs w:val="30"/>
        </w:rPr>
      </w:pPr>
      <w:r>
        <w:rPr>
          <w:rFonts w:hint="eastAsia" w:eastAsia="宋体" w:cs="Times New Roman"/>
          <w:b/>
          <w:szCs w:val="30"/>
          <w:lang w:val="en-US" w:eastAsia="zh-CN"/>
        </w:rPr>
        <w:t>数量：</w:t>
      </w:r>
      <w:r>
        <w:rPr>
          <w:rFonts w:hint="eastAsia" w:eastAsia="宋体" w:cs="Times New Roman"/>
          <w:b/>
          <w:bCs w:val="0"/>
          <w:szCs w:val="30"/>
          <w:lang w:val="en-US" w:eastAsia="zh-CN"/>
        </w:rPr>
        <w:t>4通道仪器6台。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rPr>
          <w:rFonts w:hint="default" w:ascii="Times New Roman" w:hAnsi="Times New Roman" w:eastAsia="宋体" w:cs="Times New Roman"/>
          <w:szCs w:val="30"/>
        </w:rPr>
      </w:pPr>
      <w:r>
        <w:rPr>
          <w:rFonts w:hint="default" w:ascii="Times New Roman" w:hAnsi="Times New Roman" w:eastAsia="宋体" w:cs="Times New Roman"/>
          <w:b/>
          <w:szCs w:val="30"/>
        </w:rPr>
        <w:t>设备主要用途说明</w:t>
      </w:r>
      <w:r>
        <w:rPr>
          <w:rFonts w:hint="default" w:ascii="Times New Roman" w:hAnsi="Times New Roman" w:eastAsia="宋体" w:cs="Times New Roman"/>
          <w:szCs w:val="30"/>
        </w:rPr>
        <w:t>：用于</w:t>
      </w:r>
      <w:r>
        <w:rPr>
          <w:rFonts w:hint="eastAsia" w:eastAsia="宋体" w:cs="Times New Roman"/>
          <w:szCs w:val="30"/>
          <w:lang w:val="en-US" w:eastAsia="zh-CN"/>
        </w:rPr>
        <w:t>病原体核酸的快速检测</w:t>
      </w:r>
      <w:r>
        <w:rPr>
          <w:rFonts w:hint="default" w:ascii="Times New Roman" w:hAnsi="Times New Roman" w:eastAsia="宋体" w:cs="Times New Roman"/>
          <w:szCs w:val="30"/>
          <w:lang w:eastAsia="zh-CN"/>
        </w:rPr>
        <w:t>。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rPr>
          <w:rFonts w:hint="default" w:ascii="Times New Roman" w:hAnsi="Times New Roman" w:eastAsia="宋体" w:cs="Times New Roman"/>
          <w:szCs w:val="30"/>
        </w:rPr>
      </w:pPr>
      <w:r>
        <w:rPr>
          <w:rFonts w:hint="default" w:ascii="Times New Roman" w:hAnsi="Times New Roman" w:eastAsia="宋体" w:cs="Times New Roman"/>
          <w:b/>
          <w:szCs w:val="30"/>
        </w:rPr>
        <w:t>系统要求</w:t>
      </w:r>
    </w:p>
    <w:p>
      <w:pPr>
        <w:pStyle w:val="6"/>
        <w:numPr>
          <w:ilvl w:val="1"/>
          <w:numId w:val="1"/>
        </w:numPr>
        <w:spacing w:line="560" w:lineRule="exact"/>
        <w:ind w:firstLineChars="0"/>
        <w:rPr>
          <w:rFonts w:hint="default" w:ascii="Times New Roman" w:hAnsi="Times New Roman" w:eastAsia="宋体" w:cs="Times New Roman"/>
          <w:szCs w:val="30"/>
        </w:rPr>
      </w:pPr>
      <w:r>
        <w:rPr>
          <w:rFonts w:hint="default" w:ascii="Times New Roman" w:hAnsi="Times New Roman" w:eastAsia="宋体" w:cs="Times New Roman"/>
          <w:szCs w:val="30"/>
        </w:rPr>
        <w:t>设备的投标资格认证：所投产品为全新原装，并符合中国国家有关管理法规，提供有效的证明材料</w:t>
      </w:r>
      <w:r>
        <w:rPr>
          <w:rFonts w:hint="default" w:ascii="Times New Roman" w:hAnsi="Times New Roman" w:eastAsia="宋体" w:cs="Times New Roman"/>
          <w:szCs w:val="30"/>
          <w:lang w:eastAsia="zh-CN"/>
        </w:rPr>
        <w:t>。</w:t>
      </w:r>
    </w:p>
    <w:p>
      <w:pPr>
        <w:pStyle w:val="6"/>
        <w:numPr>
          <w:ilvl w:val="1"/>
          <w:numId w:val="1"/>
        </w:numPr>
        <w:spacing w:line="560" w:lineRule="exact"/>
        <w:ind w:firstLineChars="0"/>
        <w:rPr>
          <w:rFonts w:hint="default" w:ascii="Times New Roman" w:hAnsi="Times New Roman" w:eastAsia="宋体" w:cs="Times New Roman"/>
          <w:szCs w:val="30"/>
        </w:rPr>
      </w:pPr>
      <w:r>
        <w:rPr>
          <w:rFonts w:hint="default" w:ascii="Times New Roman" w:hAnsi="Times New Roman" w:eastAsia="宋体" w:cs="Times New Roman"/>
          <w:szCs w:val="30"/>
        </w:rPr>
        <w:t>该设备需要提供《医疗器械注册证》</w:t>
      </w:r>
      <w:r>
        <w:rPr>
          <w:rFonts w:hint="default" w:ascii="Times New Roman" w:hAnsi="Times New Roman" w:eastAsia="宋体" w:cs="Times New Roman"/>
          <w:szCs w:val="30"/>
          <w:lang w:eastAsia="zh-CN"/>
        </w:rPr>
        <w:t>；</w:t>
      </w:r>
    </w:p>
    <w:p>
      <w:pPr>
        <w:pStyle w:val="6"/>
        <w:numPr>
          <w:ilvl w:val="1"/>
          <w:numId w:val="1"/>
        </w:numPr>
        <w:spacing w:line="560" w:lineRule="exact"/>
        <w:ind w:firstLineChars="0"/>
        <w:rPr>
          <w:rFonts w:hint="default" w:ascii="Times New Roman" w:hAnsi="Times New Roman" w:eastAsia="宋体" w:cs="Times New Roman"/>
          <w:szCs w:val="30"/>
        </w:rPr>
      </w:pPr>
      <w:r>
        <w:rPr>
          <w:rFonts w:hint="default" w:ascii="Times New Roman" w:hAnsi="Times New Roman" w:eastAsia="宋体" w:cs="Times New Roman"/>
          <w:szCs w:val="30"/>
        </w:rPr>
        <w:t>整个系统性能稳定、质量可靠，符合相应的国内、国际机械电气标准；</w:t>
      </w:r>
    </w:p>
    <w:p>
      <w:pPr>
        <w:pStyle w:val="6"/>
        <w:numPr>
          <w:ilvl w:val="1"/>
          <w:numId w:val="1"/>
        </w:numPr>
        <w:spacing w:line="560" w:lineRule="exact"/>
        <w:ind w:firstLineChars="0"/>
        <w:rPr>
          <w:rFonts w:hint="default" w:ascii="Times New Roman" w:hAnsi="Times New Roman" w:eastAsia="宋体" w:cs="Times New Roman"/>
          <w:szCs w:val="30"/>
        </w:rPr>
      </w:pPr>
      <w:r>
        <w:rPr>
          <w:rFonts w:hint="default" w:ascii="Times New Roman" w:hAnsi="Times New Roman" w:eastAsia="宋体" w:cs="Times New Roman"/>
          <w:szCs w:val="30"/>
        </w:rPr>
        <w:t>须提供终生免费软件升级服务；</w:t>
      </w:r>
    </w:p>
    <w:p>
      <w:pPr>
        <w:pStyle w:val="6"/>
        <w:numPr>
          <w:ilvl w:val="1"/>
          <w:numId w:val="1"/>
        </w:numPr>
        <w:spacing w:line="560" w:lineRule="exact"/>
        <w:ind w:firstLineChars="0"/>
        <w:rPr>
          <w:rFonts w:hint="default" w:ascii="Times New Roman" w:hAnsi="Times New Roman" w:eastAsia="宋体" w:cs="Times New Roman"/>
          <w:szCs w:val="30"/>
        </w:rPr>
      </w:pPr>
      <w:r>
        <w:rPr>
          <w:rFonts w:hint="default" w:ascii="Times New Roman" w:hAnsi="Times New Roman" w:eastAsia="宋体" w:cs="Times New Roman"/>
          <w:szCs w:val="30"/>
        </w:rPr>
        <w:t>属于标准配置的软硬件必须配置齐全，不得分解报价；</w:t>
      </w:r>
    </w:p>
    <w:p>
      <w:pPr>
        <w:pStyle w:val="6"/>
        <w:numPr>
          <w:ilvl w:val="1"/>
          <w:numId w:val="1"/>
        </w:numPr>
        <w:spacing w:line="560" w:lineRule="exact"/>
        <w:ind w:firstLineChars="0"/>
        <w:rPr>
          <w:rFonts w:hint="default" w:ascii="Times New Roman" w:hAnsi="Times New Roman" w:eastAsia="宋体" w:cs="Times New Roman"/>
          <w:szCs w:val="30"/>
        </w:rPr>
      </w:pPr>
      <w:r>
        <w:rPr>
          <w:rFonts w:hint="default" w:ascii="Times New Roman" w:hAnsi="Times New Roman" w:eastAsia="宋体" w:cs="Times New Roman"/>
          <w:szCs w:val="30"/>
        </w:rPr>
        <w:t>交货时间：≤1个月；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rPr>
          <w:rFonts w:hint="default" w:ascii="Times New Roman" w:hAnsi="Times New Roman" w:eastAsia="宋体" w:cs="Times New Roman"/>
          <w:szCs w:val="30"/>
        </w:rPr>
      </w:pPr>
      <w:r>
        <w:rPr>
          <w:rFonts w:hint="default" w:ascii="Times New Roman" w:hAnsi="Times New Roman" w:eastAsia="宋体" w:cs="Times New Roman"/>
          <w:b/>
          <w:szCs w:val="30"/>
        </w:rPr>
        <w:t>配置及性能要求</w:t>
      </w:r>
      <w:r>
        <w:rPr>
          <w:rFonts w:hint="default" w:ascii="Times New Roman" w:hAnsi="Times New Roman" w:eastAsia="宋体" w:cs="Times New Roman"/>
          <w:szCs w:val="30"/>
        </w:rPr>
        <w:tab/>
      </w:r>
    </w:p>
    <w:p>
      <w:pPr>
        <w:pStyle w:val="6"/>
        <w:spacing w:line="560" w:lineRule="exact"/>
        <w:ind w:firstLine="0" w:firstLineChars="0"/>
        <w:rPr>
          <w:rFonts w:hint="default" w:ascii="Times New Roman" w:hAnsi="Times New Roman" w:eastAsia="宋体" w:cs="Times New Roman"/>
          <w:szCs w:val="30"/>
        </w:rPr>
      </w:pPr>
      <w:r>
        <w:rPr>
          <w:rFonts w:hint="default" w:ascii="Times New Roman" w:hAnsi="Times New Roman" w:eastAsia="宋体" w:cs="Times New Roman"/>
          <w:szCs w:val="30"/>
        </w:rPr>
        <w:t xml:space="preserve">  （一）、设备要求</w:t>
      </w:r>
    </w:p>
    <w:p>
      <w:pPr>
        <w:pStyle w:val="6"/>
        <w:numPr>
          <w:ilvl w:val="1"/>
          <w:numId w:val="2"/>
        </w:numPr>
        <w:spacing w:line="560" w:lineRule="exact"/>
        <w:ind w:firstLineChars="0"/>
        <w:rPr>
          <w:rFonts w:hint="default" w:ascii="Times New Roman" w:hAnsi="Times New Roman" w:eastAsia="宋体" w:cs="Times New Roman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szCs w:val="30"/>
          <w:lang w:val="en-US" w:eastAsia="zh-CN"/>
        </w:rPr>
        <w:t>配置要求</w:t>
      </w:r>
    </w:p>
    <w:p>
      <w:pPr>
        <w:pStyle w:val="6"/>
        <w:numPr>
          <w:ilvl w:val="0"/>
          <w:numId w:val="0"/>
        </w:numPr>
        <w:spacing w:line="560" w:lineRule="exact"/>
        <w:ind w:left="420" w:leftChars="0" w:firstLine="600" w:firstLineChars="200"/>
        <w:rPr>
          <w:rFonts w:hint="default" w:ascii="Times New Roman" w:hAnsi="Times New Roman" w:eastAsia="宋体" w:cs="Times New Roman"/>
          <w:szCs w:val="30"/>
        </w:rPr>
      </w:pPr>
      <w:r>
        <w:rPr>
          <w:rFonts w:hint="default" w:ascii="Times New Roman" w:hAnsi="Times New Roman" w:eastAsia="宋体" w:cs="Times New Roman"/>
          <w:szCs w:val="30"/>
          <w:lang w:val="en-US" w:eastAsia="zh-CN"/>
        </w:rPr>
        <w:t>包括仪器主机、电脑、软件，能够完成绝对定量、相对定量、基于MGB原理的高成功率SNP分析和熔点曲线分析</w:t>
      </w:r>
      <w:r>
        <w:rPr>
          <w:rFonts w:hint="default" w:ascii="Times New Roman" w:hAnsi="Times New Roman" w:eastAsia="宋体" w:cs="Times New Roman"/>
          <w:szCs w:val="30"/>
          <w:lang w:eastAsia="zh-CN"/>
        </w:rPr>
        <w:t>。</w:t>
      </w:r>
    </w:p>
    <w:p>
      <w:pPr>
        <w:pStyle w:val="6"/>
        <w:numPr>
          <w:ilvl w:val="1"/>
          <w:numId w:val="2"/>
        </w:numPr>
        <w:spacing w:line="560" w:lineRule="exact"/>
        <w:ind w:firstLineChars="0"/>
        <w:rPr>
          <w:rFonts w:hint="default" w:ascii="Times New Roman" w:hAnsi="Times New Roman" w:eastAsia="宋体" w:cs="Times New Roman"/>
          <w:szCs w:val="30"/>
        </w:rPr>
      </w:pPr>
      <w:r>
        <w:rPr>
          <w:rFonts w:hint="default" w:ascii="Times New Roman" w:hAnsi="Times New Roman" w:eastAsia="宋体" w:cs="Times New Roman"/>
          <w:szCs w:val="30"/>
        </w:rPr>
        <w:t>技术</w:t>
      </w:r>
      <w:r>
        <w:rPr>
          <w:rFonts w:hint="default" w:ascii="Times New Roman" w:hAnsi="Times New Roman" w:eastAsia="宋体" w:cs="Times New Roman"/>
          <w:szCs w:val="30"/>
          <w:lang w:val="en-US" w:eastAsia="zh-CN"/>
        </w:rPr>
        <w:t>要求：</w:t>
      </w:r>
    </w:p>
    <w:p>
      <w:pPr>
        <w:pStyle w:val="6"/>
        <w:widowControl w:val="0"/>
        <w:numPr>
          <w:ilvl w:val="0"/>
          <w:numId w:val="0"/>
        </w:numPr>
        <w:spacing w:line="560" w:lineRule="exact"/>
        <w:jc w:val="both"/>
        <w:rPr>
          <w:rFonts w:hint="default" w:ascii="Times New Roman" w:hAnsi="Times New Roman" w:eastAsia="宋体" w:cs="Times New Roman"/>
          <w:szCs w:val="30"/>
          <w:lang w:val="en-US" w:eastAsia="zh-CN"/>
        </w:rPr>
      </w:pPr>
      <w:r>
        <w:rPr>
          <w:rFonts w:hint="eastAsia" w:eastAsia="宋体" w:cs="Times New Roman"/>
          <w:szCs w:val="30"/>
          <w:lang w:val="en-US" w:eastAsia="zh-CN"/>
        </w:rPr>
        <w:t>（1）</w:t>
      </w:r>
      <w:r>
        <w:rPr>
          <w:rFonts w:hint="eastAsia"/>
          <w:szCs w:val="24"/>
          <w:highlight w:val="none"/>
        </w:rPr>
        <w:t>▲</w:t>
      </w:r>
      <w:r>
        <w:rPr>
          <w:rFonts w:hint="eastAsia" w:eastAsia="宋体" w:cs="Times New Roman"/>
          <w:szCs w:val="30"/>
          <w:lang w:val="en-US" w:eastAsia="zh-CN"/>
        </w:rPr>
        <w:t>检测模式：基于磁珠法核酸提取和实时荧光PCR检测方法，反映程序含升降温过程，集信息录入、进样、核酸提取与纯化、扩增检测、数据分析、自动化报告全流程，样本上机后至结果报告过程，无需任何手工操作。</w:t>
      </w:r>
    </w:p>
    <w:p>
      <w:pPr>
        <w:pStyle w:val="6"/>
        <w:widowControl w:val="0"/>
        <w:numPr>
          <w:ilvl w:val="0"/>
          <w:numId w:val="0"/>
        </w:numPr>
        <w:spacing w:line="560" w:lineRule="exact"/>
        <w:jc w:val="both"/>
        <w:rPr>
          <w:rFonts w:hint="eastAsia" w:eastAsia="宋体" w:cs="Times New Roman"/>
          <w:szCs w:val="30"/>
          <w:lang w:val="en-US" w:eastAsia="zh-CN"/>
        </w:rPr>
      </w:pPr>
      <w:r>
        <w:rPr>
          <w:rFonts w:hint="eastAsia" w:eastAsia="宋体" w:cs="Times New Roman"/>
          <w:szCs w:val="30"/>
          <w:lang w:val="en-US" w:eastAsia="zh-CN"/>
        </w:rPr>
        <w:t>（2）生物安全：反应过程全部在封闭环境内闭盖完成，全程无需开盖。</w:t>
      </w:r>
    </w:p>
    <w:p>
      <w:pPr>
        <w:pStyle w:val="6"/>
        <w:widowControl w:val="0"/>
        <w:numPr>
          <w:ilvl w:val="0"/>
          <w:numId w:val="0"/>
        </w:numPr>
        <w:spacing w:line="560" w:lineRule="exact"/>
        <w:jc w:val="both"/>
        <w:rPr>
          <w:rFonts w:hint="eastAsia" w:eastAsia="宋体" w:cs="Times New Roman"/>
          <w:szCs w:val="30"/>
          <w:lang w:val="en-US" w:eastAsia="zh-CN"/>
        </w:rPr>
      </w:pPr>
      <w:r>
        <w:rPr>
          <w:rFonts w:hint="eastAsia" w:eastAsia="宋体" w:cs="Times New Roman"/>
          <w:szCs w:val="30"/>
          <w:lang w:val="en-US" w:eastAsia="zh-CN"/>
        </w:rPr>
        <w:t>（3）检测速度：搭配不同项目检测试剂盒，全流程检测时间可实现≤30分钟。</w:t>
      </w:r>
    </w:p>
    <w:p>
      <w:pPr>
        <w:pStyle w:val="6"/>
        <w:widowControl w:val="0"/>
        <w:numPr>
          <w:ilvl w:val="0"/>
          <w:numId w:val="0"/>
        </w:numPr>
        <w:spacing w:line="560" w:lineRule="exact"/>
        <w:jc w:val="both"/>
        <w:rPr>
          <w:rFonts w:hint="default" w:eastAsia="宋体" w:cs="Times New Roman"/>
          <w:szCs w:val="30"/>
          <w:lang w:val="en-US" w:eastAsia="zh-CN"/>
        </w:rPr>
      </w:pPr>
      <w:r>
        <w:rPr>
          <w:rFonts w:hint="eastAsia" w:eastAsia="宋体" w:cs="Times New Roman"/>
          <w:szCs w:val="30"/>
          <w:lang w:val="en-US" w:eastAsia="zh-CN"/>
        </w:rPr>
        <w:t>（4）可检测的样本类型：来源于人体样本的多种样本类型包括咽拭子、痰液、血液等。</w:t>
      </w:r>
    </w:p>
    <w:p>
      <w:pPr>
        <w:pStyle w:val="6"/>
        <w:widowControl w:val="0"/>
        <w:numPr>
          <w:ilvl w:val="0"/>
          <w:numId w:val="0"/>
        </w:numPr>
        <w:spacing w:line="560" w:lineRule="exact"/>
        <w:jc w:val="both"/>
        <w:rPr>
          <w:rFonts w:hint="eastAsia" w:eastAsia="宋体" w:cs="Times New Roman"/>
          <w:szCs w:val="30"/>
          <w:lang w:val="en-US" w:eastAsia="zh-CN"/>
        </w:rPr>
      </w:pPr>
      <w:r>
        <w:rPr>
          <w:rFonts w:hint="eastAsia" w:eastAsia="宋体" w:cs="Times New Roman"/>
          <w:szCs w:val="30"/>
          <w:lang w:val="en-US" w:eastAsia="zh-CN"/>
        </w:rPr>
        <w:t>（5）配套试剂需采用内源性内标，可监控采样和PCR扩增过程。（提供原厂试剂说明书）</w:t>
      </w:r>
    </w:p>
    <w:p>
      <w:pPr>
        <w:pStyle w:val="6"/>
        <w:widowControl w:val="0"/>
        <w:numPr>
          <w:ilvl w:val="0"/>
          <w:numId w:val="0"/>
        </w:numPr>
        <w:spacing w:line="560" w:lineRule="exact"/>
        <w:jc w:val="both"/>
        <w:rPr>
          <w:rFonts w:hint="eastAsia" w:eastAsia="宋体" w:cs="Times New Roman"/>
          <w:szCs w:val="30"/>
          <w:lang w:val="en-US" w:eastAsia="zh-CN"/>
        </w:rPr>
      </w:pPr>
      <w:r>
        <w:rPr>
          <w:rFonts w:hint="eastAsia" w:eastAsia="宋体" w:cs="Times New Roman"/>
          <w:szCs w:val="30"/>
          <w:lang w:val="en-US" w:eastAsia="zh-CN"/>
        </w:rPr>
        <w:t>（6）检测模块≥4个，单样本检测孔位模块可独立升降温控制，单样本检测孔位可单独设定不同核酸检测项目反应程序。各单样本检测孔位检测孔模块互相不干扰，可实现单样本随到随检且检测时间一致。</w:t>
      </w:r>
    </w:p>
    <w:p>
      <w:pPr>
        <w:pStyle w:val="6"/>
        <w:widowControl w:val="0"/>
        <w:numPr>
          <w:ilvl w:val="0"/>
          <w:numId w:val="0"/>
        </w:numPr>
        <w:spacing w:line="560" w:lineRule="exact"/>
        <w:jc w:val="both"/>
        <w:rPr>
          <w:rFonts w:hint="default" w:eastAsia="宋体" w:cs="Times New Roman"/>
          <w:szCs w:val="30"/>
          <w:lang w:val="en-US" w:eastAsia="zh-CN"/>
        </w:rPr>
      </w:pPr>
      <w:r>
        <w:rPr>
          <w:rFonts w:hint="eastAsia" w:eastAsia="宋体" w:cs="Times New Roman"/>
          <w:szCs w:val="30"/>
          <w:lang w:val="en-US" w:eastAsia="zh-CN"/>
        </w:rPr>
        <w:t>（7）</w:t>
      </w:r>
      <w:r>
        <w:rPr>
          <w:rFonts w:hint="eastAsia"/>
          <w:szCs w:val="24"/>
          <w:highlight w:val="none"/>
        </w:rPr>
        <w:t>▲</w:t>
      </w:r>
      <w:r>
        <w:rPr>
          <w:rFonts w:hint="eastAsia" w:eastAsia="宋体" w:cs="Times New Roman"/>
          <w:szCs w:val="30"/>
          <w:lang w:val="en-US" w:eastAsia="zh-CN"/>
        </w:rPr>
        <w:t>至少4个荧光通道，荧光强度检测重复性CV≤3%、精密度变异系数CV≤5%，荧光线性|r|≥0.990。</w:t>
      </w:r>
      <w:r>
        <w:rPr>
          <w:rFonts w:hint="default" w:eastAsia="宋体" w:cs="Times New Roman"/>
          <w:szCs w:val="30"/>
          <w:lang w:val="en-US" w:eastAsia="zh-CN"/>
        </w:rPr>
        <w:t>每多</w:t>
      </w:r>
      <w:r>
        <w:rPr>
          <w:rFonts w:hint="eastAsia" w:eastAsia="宋体" w:cs="Times New Roman"/>
          <w:szCs w:val="30"/>
          <w:lang w:val="en-US" w:eastAsia="zh-CN"/>
        </w:rPr>
        <w:t>一个荧光通道</w:t>
      </w:r>
      <w:r>
        <w:rPr>
          <w:rFonts w:hint="default" w:eastAsia="宋体" w:cs="Times New Roman"/>
          <w:szCs w:val="30"/>
          <w:lang w:val="en-US" w:eastAsia="zh-CN"/>
        </w:rPr>
        <w:t>加</w:t>
      </w:r>
      <w:r>
        <w:rPr>
          <w:rFonts w:hint="eastAsia" w:eastAsia="宋体" w:cs="Times New Roman"/>
          <w:szCs w:val="30"/>
          <w:lang w:val="en-US" w:eastAsia="zh-CN"/>
        </w:rPr>
        <w:t>1</w:t>
      </w:r>
      <w:r>
        <w:rPr>
          <w:rFonts w:hint="default" w:eastAsia="宋体" w:cs="Times New Roman"/>
          <w:szCs w:val="30"/>
          <w:lang w:val="en-US" w:eastAsia="zh-CN"/>
        </w:rPr>
        <w:t>分，无</w:t>
      </w:r>
      <w:r>
        <w:rPr>
          <w:rFonts w:hint="eastAsia" w:eastAsia="宋体" w:cs="Times New Roman"/>
          <w:szCs w:val="30"/>
          <w:lang w:val="en-US" w:eastAsia="zh-CN"/>
        </w:rPr>
        <w:t>增加</w:t>
      </w:r>
      <w:r>
        <w:rPr>
          <w:rFonts w:hint="default" w:eastAsia="宋体" w:cs="Times New Roman"/>
          <w:szCs w:val="30"/>
          <w:lang w:val="en-US" w:eastAsia="zh-CN"/>
        </w:rPr>
        <w:t>不扣分。</w:t>
      </w:r>
    </w:p>
    <w:p>
      <w:pPr>
        <w:pStyle w:val="6"/>
        <w:widowControl w:val="0"/>
        <w:numPr>
          <w:ilvl w:val="0"/>
          <w:numId w:val="0"/>
        </w:numPr>
        <w:spacing w:line="560" w:lineRule="exact"/>
        <w:jc w:val="both"/>
        <w:rPr>
          <w:rFonts w:hint="eastAsia" w:eastAsia="宋体" w:cs="Times New Roman"/>
          <w:szCs w:val="30"/>
          <w:lang w:val="en-US" w:eastAsia="zh-CN"/>
        </w:rPr>
      </w:pPr>
      <w:r>
        <w:rPr>
          <w:rFonts w:hint="eastAsia" w:eastAsia="宋体" w:cs="Times New Roman"/>
          <w:szCs w:val="30"/>
          <w:lang w:val="en-US" w:eastAsia="zh-CN"/>
        </w:rPr>
        <w:t>（8）搭配的试剂盒为单人份包装，试剂预分装入试剂盒，拆封即用。</w:t>
      </w:r>
    </w:p>
    <w:p>
      <w:pPr>
        <w:pStyle w:val="6"/>
        <w:widowControl w:val="0"/>
        <w:numPr>
          <w:ilvl w:val="0"/>
          <w:numId w:val="0"/>
        </w:numPr>
        <w:spacing w:line="560" w:lineRule="exact"/>
        <w:jc w:val="both"/>
        <w:rPr>
          <w:rFonts w:hint="eastAsia" w:eastAsia="宋体" w:cs="Times New Roman"/>
          <w:color w:val="FF0000"/>
          <w:szCs w:val="30"/>
          <w:lang w:val="en-US" w:eastAsia="zh-CN"/>
        </w:rPr>
      </w:pPr>
      <w:r>
        <w:rPr>
          <w:rFonts w:hint="eastAsia" w:eastAsia="宋体" w:cs="Times New Roman"/>
          <w:szCs w:val="30"/>
          <w:lang w:val="en-US" w:eastAsia="zh-CN"/>
        </w:rPr>
        <w:t>（9）</w:t>
      </w:r>
      <w:r>
        <w:rPr>
          <w:rFonts w:hint="eastAsia"/>
          <w:szCs w:val="24"/>
          <w:highlight w:val="none"/>
        </w:rPr>
        <w:t>▲</w:t>
      </w:r>
      <w:r>
        <w:rPr>
          <w:rFonts w:hint="eastAsia" w:eastAsia="宋体" w:cs="Times New Roman"/>
          <w:szCs w:val="30"/>
          <w:lang w:val="en-US" w:eastAsia="zh-CN"/>
        </w:rPr>
        <w:t>检测项目：需至少可进行4种呼吸道病原体核酸检测（需具有NMPA认证，新冠病毒、甲型流感病毒、乙型流感病毒、肺炎支原体病毒），</w:t>
      </w:r>
      <w:r>
        <w:rPr>
          <w:rFonts w:hint="default" w:eastAsia="宋体" w:cs="Times New Roman"/>
          <w:szCs w:val="30"/>
          <w:lang w:val="en-US" w:eastAsia="zh-CN"/>
        </w:rPr>
        <w:t>每多开展一项加2分，无</w:t>
      </w:r>
      <w:r>
        <w:rPr>
          <w:rFonts w:hint="eastAsia" w:eastAsia="宋体" w:cs="Times New Roman"/>
          <w:szCs w:val="30"/>
          <w:lang w:val="en-US" w:eastAsia="zh-CN"/>
        </w:rPr>
        <w:t>增加</w:t>
      </w:r>
      <w:r>
        <w:rPr>
          <w:rFonts w:hint="default" w:eastAsia="宋体" w:cs="Times New Roman"/>
          <w:szCs w:val="30"/>
          <w:lang w:val="en-US" w:eastAsia="zh-CN"/>
        </w:rPr>
        <w:t>不扣分</w:t>
      </w:r>
      <w:r>
        <w:rPr>
          <w:rFonts w:hint="eastAsia" w:eastAsia="宋体" w:cs="Times New Roman"/>
          <w:szCs w:val="30"/>
          <w:lang w:val="en-US" w:eastAsia="zh-CN"/>
        </w:rPr>
        <w:t>。</w:t>
      </w:r>
    </w:p>
    <w:p>
      <w:pPr>
        <w:pStyle w:val="6"/>
        <w:widowControl w:val="0"/>
        <w:numPr>
          <w:ilvl w:val="0"/>
          <w:numId w:val="0"/>
        </w:numPr>
        <w:spacing w:line="560" w:lineRule="exact"/>
        <w:jc w:val="both"/>
        <w:rPr>
          <w:rFonts w:hint="eastAsia" w:eastAsia="宋体" w:cs="Times New Roman"/>
          <w:color w:val="auto"/>
          <w:szCs w:val="30"/>
          <w:lang w:val="en-US" w:eastAsia="zh-CN"/>
        </w:rPr>
      </w:pPr>
      <w:r>
        <w:rPr>
          <w:rFonts w:hint="eastAsia" w:eastAsia="宋体" w:cs="Times New Roman"/>
          <w:color w:val="auto"/>
          <w:szCs w:val="30"/>
          <w:lang w:val="en-US" w:eastAsia="zh-CN"/>
        </w:rPr>
        <w:t>（10）可进行各类病原体的定性、定量检测。</w:t>
      </w:r>
    </w:p>
    <w:p>
      <w:pPr>
        <w:pStyle w:val="6"/>
        <w:widowControl w:val="0"/>
        <w:numPr>
          <w:ilvl w:val="0"/>
          <w:numId w:val="0"/>
        </w:numPr>
        <w:spacing w:line="560" w:lineRule="exact"/>
        <w:jc w:val="both"/>
        <w:rPr>
          <w:rFonts w:hint="default" w:eastAsia="宋体" w:cs="Times New Roman"/>
          <w:color w:val="auto"/>
          <w:szCs w:val="30"/>
          <w:lang w:val="en-US" w:eastAsia="zh-CN"/>
        </w:rPr>
      </w:pPr>
      <w:r>
        <w:rPr>
          <w:rFonts w:hint="eastAsia" w:eastAsia="宋体" w:cs="Times New Roman"/>
          <w:color w:val="auto"/>
          <w:szCs w:val="30"/>
          <w:lang w:val="en-US" w:eastAsia="zh-CN"/>
        </w:rPr>
        <w:t>（11）</w:t>
      </w:r>
      <w:r>
        <w:rPr>
          <w:rFonts w:hint="eastAsia" w:eastAsia="宋体" w:cs="Times New Roman"/>
          <w:szCs w:val="30"/>
          <w:lang w:val="en-US" w:eastAsia="zh-CN"/>
        </w:rPr>
        <w:t>新冠病毒核酸检测低限小于200copies/ml，甲型流感病毒、乙型流感病毒、肺炎支原体病毒核酸检测的检测低限小于500copies/ml。</w:t>
      </w:r>
    </w:p>
    <w:p>
      <w:pPr>
        <w:pStyle w:val="6"/>
        <w:widowControl w:val="0"/>
        <w:numPr>
          <w:ilvl w:val="0"/>
          <w:numId w:val="0"/>
        </w:numPr>
        <w:spacing w:line="560" w:lineRule="exact"/>
        <w:jc w:val="both"/>
        <w:rPr>
          <w:rFonts w:hint="eastAsia" w:eastAsia="宋体" w:cs="Times New Roman"/>
          <w:szCs w:val="30"/>
          <w:lang w:val="en-US" w:eastAsia="zh-CN"/>
        </w:rPr>
      </w:pPr>
      <w:r>
        <w:rPr>
          <w:rFonts w:hint="eastAsia" w:eastAsia="宋体" w:cs="Times New Roman"/>
          <w:szCs w:val="30"/>
          <w:lang w:val="en-US" w:eastAsia="zh-CN"/>
        </w:rPr>
        <w:t>（12）检测结果判读：检测结果体现CT值，辅助临床诊断。</w:t>
      </w:r>
    </w:p>
    <w:p>
      <w:pPr>
        <w:pStyle w:val="6"/>
        <w:widowControl w:val="0"/>
        <w:numPr>
          <w:ilvl w:val="0"/>
          <w:numId w:val="0"/>
        </w:numPr>
        <w:spacing w:line="560" w:lineRule="exact"/>
        <w:jc w:val="both"/>
        <w:rPr>
          <w:rFonts w:hint="default" w:eastAsia="宋体" w:cs="Times New Roman"/>
          <w:szCs w:val="30"/>
          <w:lang w:val="en-US" w:eastAsia="zh-CN"/>
        </w:rPr>
      </w:pPr>
      <w:r>
        <w:rPr>
          <w:rFonts w:hint="eastAsia" w:eastAsia="宋体" w:cs="Times New Roman"/>
          <w:szCs w:val="30"/>
          <w:lang w:val="en-US" w:eastAsia="zh-CN"/>
        </w:rPr>
        <w:t>（13）仪器具有双向数据通讯功能，支持对接院方LIS或HIS系统，费用由供货方承担。</w:t>
      </w:r>
    </w:p>
    <w:p>
      <w:pPr>
        <w:rPr>
          <w:rFonts w:hint="default" w:ascii="Times New Roman" w:hAnsi="Times New Roman" w:eastAsia="宋体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eastAsia="宋体" w:cs="Times New Roman"/>
          <w:kern w:val="2"/>
          <w:sz w:val="30"/>
          <w:szCs w:val="30"/>
          <w:lang w:val="en-US" w:eastAsia="zh-CN" w:bidi="ar-SA"/>
        </w:rPr>
        <w:t>3.</w:t>
      </w:r>
      <w:r>
        <w:rPr>
          <w:rFonts w:hint="default" w:ascii="Times New Roman" w:hAnsi="Times New Roman" w:eastAsia="宋体" w:cs="Times New Roman"/>
          <w:kern w:val="2"/>
          <w:sz w:val="30"/>
          <w:szCs w:val="30"/>
          <w:lang w:val="en-US" w:eastAsia="zh-CN" w:bidi="ar-SA"/>
        </w:rPr>
        <w:t>试剂耗材</w:t>
      </w:r>
    </w:p>
    <w:p>
      <w:pPr>
        <w:pStyle w:val="2"/>
        <w:ind w:firstLine="600" w:firstLineChars="200"/>
        <w:rPr>
          <w:rFonts w:hint="default"/>
          <w:lang w:val="en-US" w:eastAsia="zh-CN"/>
        </w:rPr>
      </w:pPr>
      <w:r>
        <w:rPr>
          <w:rFonts w:hint="eastAsia"/>
          <w:szCs w:val="24"/>
          <w:highlight w:val="none"/>
        </w:rPr>
        <w:t>▲</w:t>
      </w:r>
      <w:r>
        <w:rPr>
          <w:rFonts w:hint="eastAsia" w:eastAsia="宋体" w:cs="Times New Roman"/>
          <w:kern w:val="2"/>
          <w:sz w:val="30"/>
          <w:szCs w:val="30"/>
          <w:lang w:val="en-US" w:eastAsia="zh-CN" w:bidi="ar-SA"/>
        </w:rPr>
        <w:t>投标人需报出可配套检测项目试剂价格</w:t>
      </w:r>
      <w:r>
        <w:rPr>
          <w:rFonts w:hint="eastAsia" w:eastAsia="宋体" w:cs="Times New Roman"/>
          <w:color w:val="auto"/>
          <w:kern w:val="2"/>
          <w:sz w:val="30"/>
          <w:szCs w:val="30"/>
          <w:lang w:val="en-US" w:eastAsia="zh-CN" w:bidi="ar-SA"/>
        </w:rPr>
        <w:t>，组套项目耗占比需小于38%。</w:t>
      </w:r>
    </w:p>
    <w:p>
      <w:pPr>
        <w:pStyle w:val="6"/>
        <w:numPr>
          <w:ilvl w:val="0"/>
          <w:numId w:val="0"/>
        </w:numPr>
        <w:spacing w:line="560" w:lineRule="exact"/>
        <w:ind w:leftChars="0"/>
        <w:rPr>
          <w:rFonts w:hint="default" w:ascii="Times New Roman" w:hAnsi="Times New Roman" w:eastAsia="宋体" w:cs="Times New Roman"/>
          <w:b/>
          <w:szCs w:val="30"/>
        </w:rPr>
      </w:pPr>
      <w:r>
        <w:rPr>
          <w:rFonts w:hint="eastAsia" w:eastAsia="宋体" w:cs="Times New Roman"/>
          <w:b/>
          <w:szCs w:val="30"/>
          <w:lang w:val="en-US" w:eastAsia="zh-CN"/>
        </w:rPr>
        <w:t>六、</w:t>
      </w:r>
      <w:r>
        <w:rPr>
          <w:rFonts w:hint="default" w:ascii="Times New Roman" w:hAnsi="Times New Roman" w:eastAsia="宋体" w:cs="Times New Roman"/>
          <w:b/>
          <w:szCs w:val="30"/>
        </w:rPr>
        <w:t>售后服务和技术培训</w:t>
      </w:r>
    </w:p>
    <w:p>
      <w:pPr>
        <w:pStyle w:val="6"/>
        <w:numPr>
          <w:ilvl w:val="1"/>
          <w:numId w:val="3"/>
        </w:numPr>
        <w:spacing w:line="560" w:lineRule="exact"/>
        <w:ind w:firstLineChars="0"/>
        <w:rPr>
          <w:rFonts w:hint="default" w:ascii="Times New Roman" w:hAnsi="Times New Roman" w:eastAsia="宋体" w:cs="Times New Roman"/>
          <w:szCs w:val="30"/>
        </w:rPr>
      </w:pPr>
      <w:r>
        <w:rPr>
          <w:rFonts w:hint="default" w:ascii="Times New Roman" w:hAnsi="Times New Roman" w:eastAsia="宋体" w:cs="Times New Roman"/>
          <w:szCs w:val="30"/>
        </w:rPr>
        <w:t>负责安装、调试、提供完善的售后服务措施；</w:t>
      </w:r>
      <w:r>
        <w:rPr>
          <w:rFonts w:hint="default" w:ascii="Times New Roman" w:hAnsi="Times New Roman" w:eastAsia="宋体" w:cs="Times New Roman"/>
          <w:szCs w:val="30"/>
          <w:lang w:val="en-US" w:eastAsia="zh-CN"/>
        </w:rPr>
        <w:t>免费提供仪器性能验证及仪器间比对。</w:t>
      </w:r>
    </w:p>
    <w:p>
      <w:pPr>
        <w:pStyle w:val="6"/>
        <w:numPr>
          <w:ilvl w:val="1"/>
          <w:numId w:val="3"/>
        </w:numPr>
        <w:spacing w:line="560" w:lineRule="exact"/>
        <w:ind w:firstLineChars="0"/>
        <w:rPr>
          <w:rFonts w:hint="default" w:ascii="Times New Roman" w:hAnsi="Times New Roman" w:eastAsia="宋体" w:cs="Times New Roman"/>
          <w:color w:val="auto"/>
          <w:szCs w:val="30"/>
        </w:rPr>
      </w:pPr>
      <w:r>
        <w:rPr>
          <w:rFonts w:hint="default" w:ascii="Times New Roman" w:hAnsi="Times New Roman" w:eastAsia="宋体" w:cs="Times New Roman"/>
          <w:color w:val="auto"/>
          <w:szCs w:val="30"/>
          <w:lang w:val="en-US" w:eastAsia="zh-CN"/>
        </w:rPr>
        <w:t>需配备UPS设备，</w:t>
      </w:r>
      <w:r>
        <w:rPr>
          <w:rFonts w:hint="eastAsia" w:eastAsia="宋体" w:cs="Times New Roman"/>
          <w:color w:val="auto"/>
          <w:szCs w:val="30"/>
          <w:lang w:val="en-US" w:eastAsia="zh-CN"/>
        </w:rPr>
        <w:t>数量及</w:t>
      </w:r>
      <w:r>
        <w:rPr>
          <w:rFonts w:hint="default" w:ascii="Times New Roman" w:hAnsi="Times New Roman" w:eastAsia="宋体" w:cs="Times New Roman"/>
          <w:color w:val="auto"/>
          <w:szCs w:val="30"/>
          <w:lang w:val="en-US" w:eastAsia="zh-CN"/>
        </w:rPr>
        <w:t>功率依据科室需要进行提供。</w:t>
      </w:r>
    </w:p>
    <w:p>
      <w:pPr>
        <w:pStyle w:val="6"/>
        <w:numPr>
          <w:ilvl w:val="1"/>
          <w:numId w:val="3"/>
        </w:numPr>
        <w:spacing w:line="560" w:lineRule="exact"/>
        <w:ind w:firstLineChars="0"/>
        <w:rPr>
          <w:rFonts w:hint="default" w:ascii="Times New Roman" w:hAnsi="Times New Roman" w:eastAsia="宋体" w:cs="Times New Roman"/>
          <w:szCs w:val="30"/>
        </w:rPr>
      </w:pPr>
      <w:r>
        <w:rPr>
          <w:rFonts w:hint="default" w:ascii="Times New Roman" w:hAnsi="Times New Roman" w:eastAsia="宋体" w:cs="Times New Roman"/>
          <w:szCs w:val="30"/>
        </w:rPr>
        <w:t>投标产品生产厂家设有办事机构并有维修工程师，并提供联系人及联系方式；</w:t>
      </w:r>
    </w:p>
    <w:p>
      <w:pPr>
        <w:pStyle w:val="6"/>
        <w:numPr>
          <w:ilvl w:val="1"/>
          <w:numId w:val="3"/>
        </w:numPr>
        <w:spacing w:line="560" w:lineRule="exact"/>
        <w:ind w:firstLineChars="0"/>
        <w:rPr>
          <w:rFonts w:hint="default" w:ascii="Times New Roman" w:hAnsi="Times New Roman" w:eastAsia="宋体" w:cs="Times New Roman"/>
          <w:szCs w:val="30"/>
        </w:rPr>
      </w:pPr>
      <w:r>
        <w:rPr>
          <w:rFonts w:hint="eastAsia"/>
          <w:szCs w:val="24"/>
          <w:highlight w:val="none"/>
        </w:rPr>
        <w:t>▲</w:t>
      </w:r>
      <w:r>
        <w:rPr>
          <w:rFonts w:hint="default" w:ascii="Times New Roman" w:hAnsi="Times New Roman" w:eastAsia="宋体" w:cs="Times New Roman"/>
          <w:szCs w:val="30"/>
        </w:rPr>
        <w:t>设备安装调试、验收合格后整机及所有附件（含第三方产品）</w:t>
      </w:r>
      <w:bookmarkStart w:id="0" w:name="_GoBack"/>
      <w:r>
        <w:rPr>
          <w:rFonts w:hint="default" w:ascii="Times New Roman" w:hAnsi="Times New Roman" w:eastAsia="宋体" w:cs="Times New Roman"/>
          <w:color w:val="FF0000"/>
          <w:szCs w:val="30"/>
        </w:rPr>
        <w:t>免费质保期≥</w:t>
      </w:r>
      <w:r>
        <w:rPr>
          <w:rFonts w:hint="default" w:ascii="Times New Roman" w:hAnsi="Times New Roman" w:eastAsia="宋体" w:cs="Times New Roman"/>
          <w:color w:val="FF0000"/>
          <w:szCs w:val="30"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color w:val="FF0000"/>
          <w:szCs w:val="30"/>
        </w:rPr>
        <w:t>年</w:t>
      </w:r>
      <w:r>
        <w:rPr>
          <w:rFonts w:hint="default" w:ascii="Times New Roman" w:hAnsi="Times New Roman" w:eastAsia="宋体" w:cs="Times New Roman"/>
          <w:color w:val="FF0000"/>
          <w:szCs w:val="30"/>
          <w:lang w:eastAsia="zh-CN"/>
        </w:rPr>
        <w:t>；</w:t>
      </w:r>
      <w:bookmarkEnd w:id="0"/>
    </w:p>
    <w:p>
      <w:pPr>
        <w:pStyle w:val="6"/>
        <w:numPr>
          <w:ilvl w:val="1"/>
          <w:numId w:val="3"/>
        </w:numPr>
        <w:spacing w:line="560" w:lineRule="exact"/>
        <w:ind w:firstLineChars="0"/>
        <w:rPr>
          <w:rFonts w:hint="default" w:ascii="Times New Roman" w:hAnsi="Times New Roman" w:eastAsia="宋体" w:cs="Times New Roman"/>
          <w:szCs w:val="30"/>
        </w:rPr>
      </w:pPr>
      <w:r>
        <w:rPr>
          <w:rFonts w:hint="eastAsia"/>
          <w:szCs w:val="24"/>
          <w:highlight w:val="none"/>
        </w:rPr>
        <w:t>▲</w:t>
      </w:r>
      <w:r>
        <w:rPr>
          <w:rFonts w:hint="default" w:ascii="Times New Roman" w:hAnsi="Times New Roman" w:eastAsia="宋体" w:cs="Times New Roman"/>
          <w:szCs w:val="30"/>
          <w:lang w:val="en-US" w:eastAsia="zh-CN"/>
        </w:rPr>
        <w:t>设备</w:t>
      </w:r>
      <w:r>
        <w:rPr>
          <w:rFonts w:hint="default" w:ascii="Times New Roman" w:hAnsi="Times New Roman" w:eastAsia="宋体" w:cs="Times New Roman"/>
          <w:szCs w:val="30"/>
        </w:rPr>
        <w:t>终身维护</w:t>
      </w:r>
      <w:r>
        <w:rPr>
          <w:rFonts w:hint="default" w:ascii="Times New Roman" w:hAnsi="Times New Roman" w:eastAsia="宋体" w:cs="Times New Roman"/>
          <w:szCs w:val="30"/>
          <w:lang w:eastAsia="zh-CN"/>
        </w:rPr>
        <w:t>，</w:t>
      </w:r>
      <w:r>
        <w:rPr>
          <w:rFonts w:hint="default" w:ascii="Times New Roman" w:hAnsi="Times New Roman" w:eastAsia="宋体" w:cs="Times New Roman"/>
          <w:szCs w:val="30"/>
        </w:rPr>
        <w:t>按照</w:t>
      </w:r>
      <w:r>
        <w:rPr>
          <w:rFonts w:hint="default" w:ascii="Times New Roman" w:hAnsi="Times New Roman" w:eastAsia="宋体" w:cs="Times New Roman"/>
          <w:szCs w:val="30"/>
          <w:lang w:val="en-US" w:eastAsia="zh-CN"/>
        </w:rPr>
        <w:t>设备</w:t>
      </w:r>
      <w:r>
        <w:rPr>
          <w:rFonts w:hint="default" w:ascii="Times New Roman" w:hAnsi="Times New Roman" w:eastAsia="宋体" w:cs="Times New Roman"/>
          <w:szCs w:val="30"/>
        </w:rPr>
        <w:t>说明书要求</w:t>
      </w:r>
      <w:r>
        <w:rPr>
          <w:rFonts w:hint="default" w:ascii="Times New Roman" w:hAnsi="Times New Roman" w:eastAsia="宋体" w:cs="Times New Roman"/>
          <w:szCs w:val="30"/>
          <w:lang w:val="en-US" w:eastAsia="zh-CN"/>
        </w:rPr>
        <w:t>提供保养</w:t>
      </w:r>
      <w:r>
        <w:rPr>
          <w:rFonts w:hint="default" w:ascii="Times New Roman" w:hAnsi="Times New Roman" w:eastAsia="宋体" w:cs="Times New Roman"/>
          <w:szCs w:val="30"/>
        </w:rPr>
        <w:t>计划及内容</w:t>
      </w:r>
      <w:r>
        <w:rPr>
          <w:rFonts w:hint="default" w:ascii="Times New Roman" w:hAnsi="Times New Roman" w:eastAsia="宋体" w:cs="Times New Roman"/>
          <w:szCs w:val="30"/>
          <w:lang w:val="en-US" w:eastAsia="zh-CN"/>
        </w:rPr>
        <w:t>并并严格</w:t>
      </w:r>
      <w:r>
        <w:rPr>
          <w:rFonts w:hint="default" w:ascii="Times New Roman" w:hAnsi="Times New Roman" w:eastAsia="宋体" w:cs="Times New Roman"/>
          <w:szCs w:val="30"/>
        </w:rPr>
        <w:t>执行，</w:t>
      </w:r>
      <w:r>
        <w:rPr>
          <w:rFonts w:hint="default" w:ascii="Times New Roman" w:hAnsi="Times New Roman" w:eastAsia="宋体" w:cs="Times New Roman"/>
          <w:szCs w:val="30"/>
          <w:lang w:val="en-US" w:eastAsia="zh-CN"/>
        </w:rPr>
        <w:t>免费提供</w:t>
      </w:r>
      <w:r>
        <w:rPr>
          <w:rFonts w:hint="default" w:ascii="Times New Roman" w:hAnsi="Times New Roman" w:eastAsia="宋体" w:cs="Times New Roman"/>
          <w:szCs w:val="30"/>
        </w:rPr>
        <w:t>设备校准</w:t>
      </w:r>
      <w:r>
        <w:rPr>
          <w:rFonts w:hint="default" w:ascii="Times New Roman" w:hAnsi="Times New Roman" w:eastAsia="宋体" w:cs="Times New Roman"/>
          <w:szCs w:val="30"/>
          <w:lang w:val="en-US" w:eastAsia="zh-CN"/>
        </w:rPr>
        <w:t>服务且校准周期</w:t>
      </w:r>
      <w:r>
        <w:rPr>
          <w:rFonts w:hint="default" w:ascii="Times New Roman" w:hAnsi="Times New Roman" w:eastAsia="宋体" w:cs="Times New Roman"/>
          <w:szCs w:val="30"/>
        </w:rPr>
        <w:t>间隔不应超过1年，维修保养及校准均需按科室要求提供规范报告</w:t>
      </w:r>
      <w:r>
        <w:rPr>
          <w:rFonts w:hint="default" w:ascii="Times New Roman" w:hAnsi="Times New Roman" w:eastAsia="宋体" w:cs="Times New Roman"/>
          <w:szCs w:val="30"/>
          <w:lang w:eastAsia="zh-CN"/>
        </w:rPr>
        <w:t>；</w:t>
      </w:r>
    </w:p>
    <w:p>
      <w:pPr>
        <w:pStyle w:val="6"/>
        <w:numPr>
          <w:ilvl w:val="1"/>
          <w:numId w:val="3"/>
        </w:numPr>
        <w:spacing w:line="560" w:lineRule="exact"/>
        <w:ind w:firstLineChars="0"/>
        <w:rPr>
          <w:rFonts w:hint="default" w:ascii="Times New Roman" w:hAnsi="Times New Roman" w:eastAsia="宋体" w:cs="Times New Roman"/>
          <w:szCs w:val="30"/>
        </w:rPr>
      </w:pPr>
      <w:r>
        <w:rPr>
          <w:rFonts w:hint="default" w:ascii="Times New Roman" w:hAnsi="Times New Roman" w:eastAsia="宋体" w:cs="Times New Roman"/>
          <w:szCs w:val="30"/>
        </w:rPr>
        <w:t>培训：现场培训直至使用科室会使用</w:t>
      </w:r>
      <w:r>
        <w:rPr>
          <w:rFonts w:hint="default" w:ascii="Times New Roman" w:hAnsi="Times New Roman" w:eastAsia="宋体" w:cs="Times New Roman"/>
          <w:szCs w:val="30"/>
          <w:lang w:eastAsia="zh-CN"/>
        </w:rPr>
        <w:t>，</w:t>
      </w:r>
      <w:r>
        <w:rPr>
          <w:rFonts w:hint="default" w:ascii="Times New Roman" w:hAnsi="Times New Roman" w:eastAsia="宋体" w:cs="Times New Roman"/>
          <w:szCs w:val="30"/>
          <w:lang w:val="en-US" w:eastAsia="zh-CN"/>
        </w:rPr>
        <w:t>培训内容包括但不限于设备的调试、使用、普通维修维护及保养等；</w:t>
      </w:r>
    </w:p>
    <w:p>
      <w:pPr>
        <w:pStyle w:val="6"/>
        <w:numPr>
          <w:ilvl w:val="1"/>
          <w:numId w:val="3"/>
        </w:numPr>
        <w:spacing w:line="560" w:lineRule="exact"/>
        <w:ind w:firstLineChars="0"/>
        <w:rPr>
          <w:rFonts w:hint="default" w:ascii="Times New Roman" w:hAnsi="Times New Roman" w:eastAsia="宋体" w:cs="Times New Roman"/>
          <w:szCs w:val="30"/>
        </w:rPr>
      </w:pPr>
      <w:r>
        <w:rPr>
          <w:rFonts w:hint="default" w:ascii="Times New Roman" w:hAnsi="Times New Roman" w:eastAsia="宋体" w:cs="Times New Roman"/>
          <w:szCs w:val="30"/>
        </w:rPr>
        <w:t>报修后，2小时内作出响应，12小时内有专业人员到达现场维修，</w:t>
      </w:r>
      <w:r>
        <w:rPr>
          <w:rFonts w:hint="eastAsia" w:eastAsia="宋体" w:cs="Times New Roman"/>
          <w:szCs w:val="30"/>
          <w:lang w:val="en-US" w:eastAsia="zh-CN"/>
        </w:rPr>
        <w:t>维护周期超过10天需提供维修备品</w:t>
      </w:r>
      <w:r>
        <w:rPr>
          <w:rFonts w:hint="default" w:ascii="Times New Roman" w:hAnsi="Times New Roman" w:eastAsia="宋体" w:cs="Times New Roman"/>
          <w:szCs w:val="30"/>
        </w:rPr>
        <w:t>；</w:t>
      </w:r>
    </w:p>
    <w:p>
      <w:pPr>
        <w:pStyle w:val="6"/>
        <w:numPr>
          <w:ilvl w:val="1"/>
          <w:numId w:val="3"/>
        </w:numPr>
        <w:spacing w:line="560" w:lineRule="exact"/>
        <w:ind w:firstLineChars="0"/>
        <w:rPr>
          <w:rFonts w:hint="default" w:ascii="Times New Roman" w:hAnsi="Times New Roman" w:eastAsia="宋体" w:cs="Times New Roman"/>
          <w:szCs w:val="30"/>
        </w:rPr>
      </w:pPr>
      <w:r>
        <w:rPr>
          <w:rFonts w:hint="default" w:ascii="Times New Roman" w:hAnsi="Times New Roman" w:eastAsia="宋体" w:cs="Times New Roman"/>
          <w:szCs w:val="30"/>
        </w:rPr>
        <w:t>机器到位后，用户发现明显缺陷时，必须免费更换，直到用户满意为止；</w:t>
      </w:r>
    </w:p>
    <w:p>
      <w:pPr>
        <w:pStyle w:val="6"/>
        <w:numPr>
          <w:ilvl w:val="1"/>
          <w:numId w:val="3"/>
        </w:numPr>
        <w:spacing w:line="560" w:lineRule="exact"/>
        <w:ind w:firstLineChars="0"/>
        <w:rPr>
          <w:rFonts w:hint="default" w:ascii="Times New Roman" w:hAnsi="Times New Roman" w:eastAsia="宋体" w:cs="Times New Roman"/>
          <w:szCs w:val="30"/>
        </w:rPr>
      </w:pPr>
      <w:r>
        <w:rPr>
          <w:rFonts w:hint="default" w:ascii="Times New Roman" w:hAnsi="Times New Roman" w:eastAsia="宋体" w:cs="Times New Roman"/>
          <w:szCs w:val="30"/>
        </w:rPr>
        <w:t>提供产品的纸质及电子技术资料各壹套（含操作手册、维修手册等）。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rPr>
          <w:rFonts w:hint="default" w:ascii="Times New Roman" w:hAnsi="Times New Roman" w:eastAsia="宋体" w:cs="Times New Roman"/>
          <w:b/>
          <w:szCs w:val="30"/>
        </w:rPr>
      </w:pPr>
      <w:r>
        <w:rPr>
          <w:rFonts w:hint="default" w:ascii="Times New Roman" w:hAnsi="Times New Roman" w:eastAsia="宋体" w:cs="Times New Roman"/>
          <w:b/>
          <w:szCs w:val="30"/>
        </w:rPr>
        <w:t>其它事项</w:t>
      </w:r>
    </w:p>
    <w:p>
      <w:pPr>
        <w:pStyle w:val="6"/>
        <w:numPr>
          <w:ilvl w:val="1"/>
          <w:numId w:val="4"/>
        </w:numPr>
        <w:spacing w:line="560" w:lineRule="exact"/>
        <w:ind w:firstLineChars="0"/>
        <w:rPr>
          <w:rFonts w:hint="default" w:ascii="Times New Roman" w:hAnsi="Times New Roman" w:eastAsia="宋体" w:cs="Times New Roman"/>
          <w:szCs w:val="30"/>
        </w:rPr>
      </w:pPr>
      <w:r>
        <w:rPr>
          <w:rFonts w:hint="default" w:ascii="Times New Roman" w:hAnsi="Times New Roman" w:eastAsia="宋体" w:cs="Times New Roman"/>
          <w:szCs w:val="30"/>
        </w:rPr>
        <w:t>请详细提供</w:t>
      </w:r>
      <w:r>
        <w:rPr>
          <w:rFonts w:hint="default" w:ascii="Times New Roman" w:hAnsi="Times New Roman" w:eastAsia="宋体" w:cs="Times New Roman"/>
          <w:szCs w:val="30"/>
          <w:lang w:val="en-US" w:eastAsia="zh-CN"/>
        </w:rPr>
        <w:t>选配件及</w:t>
      </w:r>
      <w:r>
        <w:rPr>
          <w:rFonts w:hint="default" w:ascii="Times New Roman" w:hAnsi="Times New Roman" w:eastAsia="宋体" w:cs="Times New Roman"/>
          <w:szCs w:val="30"/>
        </w:rPr>
        <w:t>易损件目录及投标价；</w:t>
      </w:r>
    </w:p>
    <w:p>
      <w:pPr>
        <w:pStyle w:val="6"/>
        <w:numPr>
          <w:ilvl w:val="1"/>
          <w:numId w:val="4"/>
        </w:numPr>
        <w:spacing w:line="560" w:lineRule="exact"/>
        <w:ind w:firstLineChars="0"/>
      </w:pPr>
      <w:r>
        <w:rPr>
          <w:rFonts w:hint="default" w:ascii="Times New Roman" w:hAnsi="Times New Roman" w:eastAsia="宋体" w:cs="Times New Roman"/>
          <w:szCs w:val="30"/>
        </w:rPr>
        <w:t>请提供该档次设备的用户名单（包括单位、联系人、电话，云南省内全部用户、省外代表性用户）。</w:t>
      </w:r>
    </w:p>
    <w:p>
      <w:pPr>
        <w:pStyle w:val="2"/>
      </w:pPr>
    </w:p>
    <w:sectPr>
      <w:headerReference r:id="rId3" w:type="default"/>
      <w:pgSz w:w="11906" w:h="16838"/>
      <w:pgMar w:top="567" w:right="1440" w:bottom="567" w:left="1440" w:header="851" w:footer="992" w:gutter="0"/>
      <w:cols w:space="720" w:num="1"/>
      <w:docGrid w:type="lines" w:linePitch="5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87364A"/>
    <w:multiLevelType w:val="multilevel"/>
    <w:tmpl w:val="B487364A"/>
    <w:lvl w:ilvl="0" w:tentative="0">
      <w:start w:val="6"/>
      <w:numFmt w:val="chineseCountingThousand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EB2BF41F"/>
    <w:multiLevelType w:val="multilevel"/>
    <w:tmpl w:val="EB2BF41F"/>
    <w:lvl w:ilvl="0" w:tentative="0">
      <w:start w:val="6"/>
      <w:numFmt w:val="chineseCountingThousand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18F515D3"/>
    <w:multiLevelType w:val="multilevel"/>
    <w:tmpl w:val="18F515D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decimal"/>
      <w:lvlText w:val="%2."/>
      <w:lvlJc w:val="left"/>
      <w:pPr>
        <w:ind w:left="840" w:hanging="420"/>
      </w:pPr>
      <w:rPr>
        <w:lang w:eastAsia="zh-CN"/>
      </w:rPr>
    </w:lvl>
    <w:lvl w:ilvl="2" w:tentative="0">
      <w:start w:val="1"/>
      <w:numFmt w:val="decimal"/>
      <w:lvlText w:val="%3)"/>
      <w:lvlJc w:val="left"/>
      <w:pPr>
        <w:ind w:left="1260" w:hanging="420"/>
      </w:pPr>
    </w:lvl>
    <w:lvl w:ilvl="3" w:tentative="0">
      <w:start w:val="1"/>
      <w:numFmt w:val="lowerRoman"/>
      <w:lvlText w:val="%4."/>
      <w:lvlJc w:val="righ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EE8D9E"/>
    <w:multiLevelType w:val="multilevel"/>
    <w:tmpl w:val="3AEE8D9E"/>
    <w:lvl w:ilvl="0" w:tentative="0">
      <w:start w:val="6"/>
      <w:numFmt w:val="chineseCountingThousand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C5978"/>
    <w:rsid w:val="03AA4003"/>
    <w:rsid w:val="04F875ED"/>
    <w:rsid w:val="069C43E2"/>
    <w:rsid w:val="086C30CB"/>
    <w:rsid w:val="091B2129"/>
    <w:rsid w:val="0C396129"/>
    <w:rsid w:val="0D420721"/>
    <w:rsid w:val="0D4469B0"/>
    <w:rsid w:val="12B8571C"/>
    <w:rsid w:val="17AD1A18"/>
    <w:rsid w:val="17EB0D64"/>
    <w:rsid w:val="197304B5"/>
    <w:rsid w:val="1E747CF6"/>
    <w:rsid w:val="21685970"/>
    <w:rsid w:val="2399631D"/>
    <w:rsid w:val="2408469F"/>
    <w:rsid w:val="26452B11"/>
    <w:rsid w:val="26F83025"/>
    <w:rsid w:val="285B7499"/>
    <w:rsid w:val="2EE649CC"/>
    <w:rsid w:val="34BC5978"/>
    <w:rsid w:val="36FF28EC"/>
    <w:rsid w:val="3BF43E0A"/>
    <w:rsid w:val="4041754A"/>
    <w:rsid w:val="41A13687"/>
    <w:rsid w:val="433527BB"/>
    <w:rsid w:val="49CF1CAA"/>
    <w:rsid w:val="4FAD439E"/>
    <w:rsid w:val="4FFE65C6"/>
    <w:rsid w:val="5CA30816"/>
    <w:rsid w:val="5E022C63"/>
    <w:rsid w:val="5F8E16DF"/>
    <w:rsid w:val="6BEB12D5"/>
    <w:rsid w:val="72AB234D"/>
    <w:rsid w:val="7A971CB4"/>
    <w:rsid w:val="7F44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2284</Words>
  <Characters>2376</Characters>
  <Lines>0</Lines>
  <Paragraphs>0</Paragraphs>
  <TotalTime>3</TotalTime>
  <ScaleCrop>false</ScaleCrop>
  <LinksUpToDate>false</LinksUpToDate>
  <CharactersWithSpaces>2381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2025-03-17T09:24:00Z</dcterms:created>
  <dc:creator>吴孟娜</dc:creator>
  <cp:lastModifiedBy>.乄小了个陈</cp:lastModifiedBy>
  <dcterms:modified xsi:type="dcterms:W3CDTF">2025-05-07T07:21:33Z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2CBB89A6B66740EC89EA844A59EE0F2B_13</vt:lpwstr>
  </property>
  <property fmtid="{D5CDD505-2E9C-101B-9397-08002B2CF9AE}" pid="4" name="KSOTemplateDocerSaveRecord">
    <vt:lpwstr>eyJoZGlkIjoiNDI1NGQ4MDY4NjMxYWVlMzc3ODM2NDE0MmU1ODUxYzYiLCJ1c2VySWQiOiI0Njg0NjAzNTQifQ==</vt:lpwstr>
  </property>
</Properties>
</file>