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rPr>
          <w:b/>
          <w:sz w:val="28"/>
          <w:szCs w:val="24"/>
        </w:rPr>
      </w:pPr>
      <w:r>
        <w:rPr>
          <w:rFonts w:hint="eastAsia"/>
          <w:b/>
          <w:sz w:val="28"/>
          <w:szCs w:val="24"/>
        </w:rPr>
        <w:t>本项目采用综合评分法。</w:t>
      </w:r>
    </w:p>
    <w:p>
      <w:pPr>
        <w:spacing w:line="360" w:lineRule="auto"/>
        <w:ind w:firstLine="560" w:firstLineChars="200"/>
        <w:rPr>
          <w:color w:val="000000"/>
          <w:sz w:val="28"/>
          <w:szCs w:val="24"/>
          <w:highlight w:val="none"/>
        </w:rPr>
      </w:pPr>
      <w:r>
        <w:rPr>
          <w:rFonts w:hint="eastAsia"/>
          <w:color w:val="000000"/>
          <w:sz w:val="28"/>
          <w:szCs w:val="24"/>
          <w:highlight w:val="none"/>
        </w:rPr>
        <w:t>评审总分值由价格部分、技术部分二部分组成，总分值</w:t>
      </w:r>
      <w:r>
        <w:rPr>
          <w:color w:val="000000"/>
          <w:sz w:val="28"/>
          <w:szCs w:val="24"/>
          <w:highlight w:val="none"/>
        </w:rPr>
        <w:t>100</w:t>
      </w:r>
      <w:r>
        <w:rPr>
          <w:rFonts w:hint="eastAsia"/>
          <w:color w:val="000000"/>
          <w:sz w:val="28"/>
          <w:szCs w:val="24"/>
          <w:highlight w:val="none"/>
        </w:rPr>
        <w:t>分。在本项目中价格部分（评审报价）所占分值</w:t>
      </w:r>
      <w:r>
        <w:rPr>
          <w:color w:val="000000"/>
          <w:sz w:val="28"/>
          <w:szCs w:val="24"/>
          <w:highlight w:val="none"/>
        </w:rPr>
        <w:t>30</w:t>
      </w:r>
      <w:r>
        <w:rPr>
          <w:rFonts w:hint="eastAsia"/>
          <w:color w:val="000000"/>
          <w:sz w:val="28"/>
          <w:szCs w:val="24"/>
          <w:highlight w:val="none"/>
        </w:rPr>
        <w:t>分；技术部分部分（价格部分除外）所占分值为</w:t>
      </w:r>
      <w:r>
        <w:rPr>
          <w:color w:val="000000"/>
          <w:sz w:val="28"/>
          <w:szCs w:val="24"/>
          <w:highlight w:val="none"/>
        </w:rPr>
        <w:t>70</w:t>
      </w:r>
      <w:r>
        <w:rPr>
          <w:rFonts w:hint="eastAsia"/>
          <w:color w:val="000000"/>
          <w:sz w:val="28"/>
          <w:szCs w:val="24"/>
          <w:highlight w:val="none"/>
        </w:rPr>
        <w:t>分。</w:t>
      </w:r>
    </w:p>
    <w:p>
      <w:pPr>
        <w:spacing w:line="360" w:lineRule="auto"/>
        <w:ind w:firstLine="560" w:firstLineChars="200"/>
        <w:rPr>
          <w:sz w:val="28"/>
          <w:szCs w:val="24"/>
          <w:highlight w:val="none"/>
        </w:rPr>
      </w:pPr>
      <w:r>
        <w:rPr>
          <w:rFonts w:hint="eastAsia"/>
          <w:sz w:val="28"/>
          <w:szCs w:val="24"/>
          <w:highlight w:val="none"/>
        </w:rPr>
        <w:t>评审委员会将根据资格审查、符合性审查且响应文件满足招标文件实质性要求前提下，按照最终报价（商谈）的价格分、技术部分等进行综合评估，</w:t>
      </w:r>
      <w:r>
        <w:rPr>
          <w:rFonts w:hint="eastAsia"/>
          <w:b/>
          <w:sz w:val="28"/>
          <w:szCs w:val="24"/>
          <w:highlight w:val="none"/>
        </w:rPr>
        <w:t>在对各评委分值汇总时，以算术平均值为各投标人得分</w:t>
      </w:r>
      <w:r>
        <w:rPr>
          <w:rFonts w:hint="eastAsia"/>
          <w:sz w:val="28"/>
          <w:szCs w:val="24"/>
          <w:highlight w:val="none"/>
        </w:rPr>
        <w:t>，以评标最终得分最高的投标人为第一中标候选人，本项目</w:t>
      </w:r>
      <w:r>
        <w:rPr>
          <w:rFonts w:hint="eastAsia"/>
          <w:sz w:val="28"/>
          <w:szCs w:val="24"/>
          <w:highlight w:val="none"/>
          <w:lang w:val="en-US" w:eastAsia="zh-CN"/>
        </w:rPr>
        <w:t>在评审前</w:t>
      </w:r>
      <w:r>
        <w:rPr>
          <w:rFonts w:hint="eastAsia"/>
          <w:sz w:val="28"/>
          <w:szCs w:val="24"/>
          <w:highlight w:val="none"/>
        </w:rPr>
        <w:t>有二次商谈报价环节</w:t>
      </w:r>
      <w:r>
        <w:rPr>
          <w:rFonts w:hint="eastAsia"/>
          <w:sz w:val="28"/>
          <w:szCs w:val="24"/>
          <w:highlight w:val="none"/>
          <w:lang w:eastAsia="zh-CN"/>
        </w:rPr>
        <w:t>（</w:t>
      </w:r>
      <w:r>
        <w:rPr>
          <w:rFonts w:hint="eastAsia"/>
          <w:sz w:val="28"/>
          <w:szCs w:val="24"/>
          <w:highlight w:val="none"/>
          <w:lang w:val="en-US" w:eastAsia="zh-CN"/>
        </w:rPr>
        <w:t>投标文件中的价格为一次报价</w:t>
      </w:r>
      <w:r>
        <w:rPr>
          <w:rFonts w:hint="eastAsia"/>
          <w:sz w:val="28"/>
          <w:szCs w:val="24"/>
          <w:highlight w:val="none"/>
          <w:lang w:eastAsia="zh-CN"/>
        </w:rPr>
        <w:t>）</w:t>
      </w:r>
      <w:r>
        <w:rPr>
          <w:rFonts w:hint="eastAsia"/>
          <w:sz w:val="28"/>
          <w:szCs w:val="24"/>
          <w:highlight w:val="none"/>
        </w:rPr>
        <w:t>。</w:t>
      </w:r>
    </w:p>
    <w:p>
      <w:pPr>
        <w:spacing w:line="360" w:lineRule="auto"/>
        <w:ind w:firstLine="562" w:firstLineChars="200"/>
        <w:rPr>
          <w:b/>
          <w:color w:val="000000"/>
          <w:sz w:val="28"/>
          <w:szCs w:val="24"/>
        </w:rPr>
      </w:pPr>
      <w:r>
        <w:rPr>
          <w:b/>
          <w:color w:val="000000"/>
          <w:sz w:val="28"/>
          <w:szCs w:val="24"/>
        </w:rPr>
        <w:t>1.</w:t>
      </w:r>
      <w:r>
        <w:rPr>
          <w:rFonts w:hint="eastAsia"/>
          <w:b/>
          <w:color w:val="000000"/>
          <w:sz w:val="28"/>
          <w:szCs w:val="24"/>
        </w:rPr>
        <w:t>评审计算方法</w:t>
      </w:r>
    </w:p>
    <w:p>
      <w:pPr>
        <w:spacing w:line="360" w:lineRule="auto"/>
        <w:ind w:firstLine="560" w:firstLineChars="200"/>
        <w:rPr>
          <w:color w:val="000000"/>
          <w:sz w:val="28"/>
          <w:szCs w:val="24"/>
        </w:rPr>
      </w:pPr>
      <w:r>
        <w:rPr>
          <w:rFonts w:hint="eastAsia"/>
          <w:color w:val="000000"/>
          <w:sz w:val="28"/>
          <w:szCs w:val="24"/>
        </w:rPr>
        <w:t>投标人的评审总得分＝技术部分得分</w:t>
      </w:r>
      <w:r>
        <w:rPr>
          <w:color w:val="000000"/>
          <w:sz w:val="28"/>
          <w:szCs w:val="24"/>
        </w:rPr>
        <w:t>+</w:t>
      </w:r>
      <w:r>
        <w:rPr>
          <w:rFonts w:hint="eastAsia"/>
          <w:color w:val="000000"/>
          <w:sz w:val="28"/>
          <w:szCs w:val="24"/>
        </w:rPr>
        <w:t>价格部分得分</w:t>
      </w:r>
    </w:p>
    <w:p>
      <w:pPr>
        <w:spacing w:line="360" w:lineRule="auto"/>
        <w:ind w:firstLine="562" w:firstLineChars="200"/>
        <w:rPr>
          <w:b/>
          <w:sz w:val="28"/>
          <w:szCs w:val="24"/>
        </w:rPr>
      </w:pPr>
      <w:r>
        <w:rPr>
          <w:b/>
          <w:sz w:val="28"/>
          <w:szCs w:val="24"/>
        </w:rPr>
        <w:t xml:space="preserve">1.1 </w:t>
      </w:r>
      <w:r>
        <w:rPr>
          <w:rFonts w:hint="eastAsia"/>
          <w:b/>
          <w:sz w:val="28"/>
          <w:szCs w:val="24"/>
        </w:rPr>
        <w:t>价格部分：</w:t>
      </w:r>
      <w:r>
        <w:rPr>
          <w:b/>
          <w:sz w:val="28"/>
          <w:szCs w:val="24"/>
        </w:rPr>
        <w:t>30</w:t>
      </w:r>
      <w:r>
        <w:rPr>
          <w:rFonts w:hint="eastAsia"/>
          <w:b/>
          <w:sz w:val="28"/>
          <w:szCs w:val="24"/>
        </w:rPr>
        <w:t>分</w:t>
      </w:r>
    </w:p>
    <w:p>
      <w:pPr>
        <w:spacing w:line="360" w:lineRule="auto"/>
        <w:ind w:firstLine="560" w:firstLineChars="200"/>
        <w:rPr>
          <w:color w:val="000000"/>
          <w:sz w:val="28"/>
          <w:szCs w:val="24"/>
          <w:highlight w:val="none"/>
        </w:rPr>
      </w:pPr>
      <w:r>
        <w:rPr>
          <w:rFonts w:hint="eastAsia"/>
          <w:sz w:val="28"/>
          <w:szCs w:val="24"/>
        </w:rPr>
        <w:t>以</w:t>
      </w:r>
      <w:r>
        <w:rPr>
          <w:rFonts w:hint="eastAsia"/>
          <w:color w:val="000000"/>
          <w:sz w:val="28"/>
          <w:szCs w:val="24"/>
          <w:highlight w:val="none"/>
        </w:rPr>
        <w:t>最终报价价格最低的报价为评审基准价，其价格分为满分。其他供应商的报价分按照下列公式计算：</w:t>
      </w:r>
    </w:p>
    <w:p>
      <w:pPr>
        <w:tabs>
          <w:tab w:val="left" w:pos="6820"/>
        </w:tabs>
        <w:spacing w:line="360" w:lineRule="auto"/>
        <w:ind w:firstLine="560" w:firstLineChars="200"/>
        <w:rPr>
          <w:color w:val="000000"/>
          <w:sz w:val="28"/>
          <w:szCs w:val="24"/>
          <w:highlight w:val="none"/>
        </w:rPr>
      </w:pPr>
      <w:r>
        <w:rPr>
          <w:rFonts w:hint="eastAsia"/>
          <w:color w:val="000000"/>
          <w:sz w:val="28"/>
          <w:szCs w:val="24"/>
          <w:highlight w:val="none"/>
        </w:rPr>
        <w:t>报价得分</w:t>
      </w:r>
      <w:r>
        <w:rPr>
          <w:color w:val="000000"/>
          <w:sz w:val="28"/>
          <w:szCs w:val="24"/>
          <w:highlight w:val="none"/>
        </w:rPr>
        <w:t>=</w:t>
      </w:r>
      <w:r>
        <w:rPr>
          <w:rFonts w:hint="eastAsia"/>
          <w:color w:val="000000"/>
          <w:sz w:val="28"/>
          <w:szCs w:val="24"/>
          <w:highlight w:val="none"/>
        </w:rPr>
        <w:t>（评审基准价</w:t>
      </w:r>
      <w:r>
        <w:rPr>
          <w:color w:val="000000"/>
          <w:sz w:val="28"/>
          <w:szCs w:val="24"/>
          <w:highlight w:val="none"/>
        </w:rPr>
        <w:t>/</w:t>
      </w:r>
      <w:r>
        <w:rPr>
          <w:rFonts w:hint="eastAsia"/>
          <w:color w:val="000000"/>
          <w:sz w:val="28"/>
          <w:szCs w:val="24"/>
          <w:highlight w:val="none"/>
          <w:lang w:val="zh-CN"/>
        </w:rPr>
        <w:t>有效的</w:t>
      </w:r>
      <w:r>
        <w:rPr>
          <w:rFonts w:hint="eastAsia"/>
          <w:color w:val="000000"/>
          <w:sz w:val="28"/>
          <w:szCs w:val="24"/>
          <w:highlight w:val="none"/>
        </w:rPr>
        <w:t>报价）×权重</w:t>
      </w:r>
    </w:p>
    <w:p>
      <w:pPr>
        <w:tabs>
          <w:tab w:val="left" w:pos="6820"/>
        </w:tabs>
        <w:spacing w:line="360" w:lineRule="auto"/>
        <w:ind w:firstLine="562" w:firstLineChars="200"/>
        <w:rPr>
          <w:b/>
          <w:bCs/>
          <w:color w:val="000000"/>
          <w:sz w:val="28"/>
          <w:szCs w:val="24"/>
          <w:highlight w:val="none"/>
        </w:rPr>
      </w:pPr>
      <w:r>
        <w:rPr>
          <w:b/>
          <w:bCs/>
          <w:color w:val="000000"/>
          <w:sz w:val="28"/>
          <w:szCs w:val="24"/>
          <w:highlight w:val="none"/>
        </w:rPr>
        <w:t>1.2</w:t>
      </w:r>
      <w:r>
        <w:rPr>
          <w:rFonts w:hint="eastAsia"/>
          <w:b/>
          <w:bCs/>
          <w:color w:val="000000"/>
          <w:sz w:val="28"/>
          <w:szCs w:val="24"/>
          <w:highlight w:val="none"/>
        </w:rPr>
        <w:t>技术部分部分：</w:t>
      </w:r>
      <w:r>
        <w:rPr>
          <w:b/>
          <w:bCs/>
          <w:color w:val="000000"/>
          <w:sz w:val="28"/>
          <w:szCs w:val="24"/>
          <w:highlight w:val="none"/>
        </w:rPr>
        <w:t>70</w:t>
      </w:r>
      <w:r>
        <w:rPr>
          <w:rFonts w:hint="eastAsia"/>
          <w:b/>
          <w:bCs/>
          <w:color w:val="000000"/>
          <w:sz w:val="28"/>
          <w:szCs w:val="24"/>
          <w:highlight w:val="none"/>
        </w:rPr>
        <w:t>分</w:t>
      </w:r>
    </w:p>
    <w:p>
      <w:pPr>
        <w:tabs>
          <w:tab w:val="left" w:pos="426"/>
        </w:tabs>
        <w:spacing w:line="360" w:lineRule="auto"/>
        <w:rPr>
          <w:b/>
          <w:color w:val="000000"/>
          <w:sz w:val="28"/>
          <w:szCs w:val="24"/>
          <w:highlight w:val="none"/>
        </w:rPr>
      </w:pPr>
      <w:r>
        <w:rPr>
          <w:rFonts w:hint="eastAsia"/>
          <w:b/>
          <w:color w:val="000000"/>
          <w:sz w:val="28"/>
          <w:szCs w:val="24"/>
          <w:highlight w:val="none"/>
        </w:rPr>
        <w:t>注：最终报价超出采购预算价的，按无效标处理。</w:t>
      </w:r>
    </w:p>
    <w:p>
      <w:pPr>
        <w:spacing w:line="360" w:lineRule="auto"/>
        <w:ind w:firstLine="562" w:firstLineChars="200"/>
        <w:rPr>
          <w:b/>
          <w:color w:val="000000"/>
          <w:sz w:val="28"/>
          <w:szCs w:val="24"/>
          <w:highlight w:val="none"/>
        </w:rPr>
        <w:sectPr>
          <w:footerReference r:id="rId3" w:type="default"/>
          <w:pgSz w:w="11906" w:h="16838"/>
          <w:pgMar w:top="1134" w:right="1247" w:bottom="1134" w:left="1247" w:header="680" w:footer="624" w:gutter="0"/>
          <w:pgBorders w:offsetFrom="page">
            <w:top w:val="single" w:color="auto" w:sz="4" w:space="1"/>
          </w:pgBorders>
          <w:pgNumType w:fmt="decimal"/>
          <w:cols w:space="720" w:num="1"/>
          <w:docGrid w:type="lines" w:linePitch="331" w:charSpace="0"/>
        </w:sectPr>
      </w:pPr>
    </w:p>
    <w:p>
      <w:pPr>
        <w:spacing w:line="360" w:lineRule="auto"/>
        <w:rPr>
          <w:b/>
          <w:sz w:val="24"/>
          <w:szCs w:val="24"/>
        </w:rPr>
      </w:pPr>
      <w:r>
        <w:rPr>
          <w:b/>
          <w:sz w:val="24"/>
          <w:szCs w:val="24"/>
        </w:rPr>
        <w:t>2.</w:t>
      </w:r>
      <w:r>
        <w:rPr>
          <w:rFonts w:hint="eastAsia"/>
          <w:b/>
          <w:sz w:val="24"/>
          <w:szCs w:val="24"/>
        </w:rPr>
        <w:t>综合评分表</w:t>
      </w:r>
    </w:p>
    <w:tbl>
      <w:tblPr>
        <w:tblStyle w:val="4"/>
        <w:tblW w:w="9759" w:type="dxa"/>
        <w:jc w:val="center"/>
        <w:tblInd w:w="14" w:type="dxa"/>
        <w:tblLayout w:type="fixed"/>
        <w:tblCellMar>
          <w:top w:w="0" w:type="dxa"/>
          <w:left w:w="14" w:type="dxa"/>
          <w:bottom w:w="0" w:type="dxa"/>
          <w:right w:w="14" w:type="dxa"/>
        </w:tblCellMar>
      </w:tblPr>
      <w:tblGrid>
        <w:gridCol w:w="356"/>
        <w:gridCol w:w="687"/>
        <w:gridCol w:w="1792"/>
        <w:gridCol w:w="6924"/>
      </w:tblGrid>
      <w:tr>
        <w:tblPrEx>
          <w:tblLayout w:type="fixed"/>
          <w:tblCellMar>
            <w:top w:w="0" w:type="dxa"/>
            <w:left w:w="14" w:type="dxa"/>
            <w:bottom w:w="0" w:type="dxa"/>
            <w:right w:w="14" w:type="dxa"/>
          </w:tblCellMar>
        </w:tblPrEx>
        <w:trPr>
          <w:trHeight w:val="3397" w:hRule="atLeast"/>
          <w:jc w:val="center"/>
        </w:trPr>
        <w:tc>
          <w:tcPr>
            <w:tcW w:w="356" w:type="dxa"/>
            <w:tcBorders>
              <w:top w:val="single" w:color="000000" w:sz="2" w:space="0"/>
              <w:left w:val="single" w:color="000000" w:sz="2" w:space="0"/>
              <w:bottom w:val="single" w:color="auto" w:sz="4" w:space="0"/>
              <w:right w:val="single" w:color="000000" w:sz="2" w:space="0"/>
            </w:tcBorders>
            <w:vAlign w:val="center"/>
          </w:tcPr>
          <w:p>
            <w:pPr>
              <w:widowControl w:val="0"/>
              <w:autoSpaceDE w:val="0"/>
              <w:autoSpaceDN w:val="0"/>
              <w:adjustRightInd w:val="0"/>
              <w:spacing w:line="360" w:lineRule="auto"/>
              <w:ind w:hanging="14"/>
              <w:jc w:val="center"/>
              <w:rPr>
                <w:szCs w:val="24"/>
                <w:lang w:val="zh-CN"/>
              </w:rPr>
            </w:pPr>
            <w:r>
              <w:rPr>
                <w:szCs w:val="24"/>
                <w:lang w:val="zh-CN"/>
              </w:rPr>
              <w:t>1</w:t>
            </w:r>
          </w:p>
        </w:tc>
        <w:tc>
          <w:tcPr>
            <w:tcW w:w="687" w:type="dxa"/>
            <w:tcBorders>
              <w:top w:val="single" w:color="000000" w:sz="2" w:space="0"/>
              <w:left w:val="single" w:color="000000" w:sz="2" w:space="0"/>
              <w:bottom w:val="single" w:color="auto" w:sz="4" w:space="0"/>
              <w:right w:val="single" w:color="000000" w:sz="2" w:space="0"/>
            </w:tcBorders>
            <w:vAlign w:val="center"/>
          </w:tcPr>
          <w:p>
            <w:pPr>
              <w:widowControl w:val="0"/>
              <w:autoSpaceDE w:val="0"/>
              <w:autoSpaceDN w:val="0"/>
              <w:adjustRightInd w:val="0"/>
              <w:spacing w:line="360" w:lineRule="auto"/>
              <w:jc w:val="center"/>
              <w:rPr>
                <w:szCs w:val="24"/>
                <w:highlight w:val="none"/>
                <w:lang w:val="zh-CN"/>
              </w:rPr>
            </w:pPr>
            <w:r>
              <w:rPr>
                <w:szCs w:val="24"/>
                <w:highlight w:val="none"/>
                <w:lang w:val="zh-CN"/>
              </w:rPr>
              <w:t>F1:</w:t>
            </w:r>
            <w:r>
              <w:rPr>
                <w:rFonts w:hint="eastAsia"/>
                <w:szCs w:val="24"/>
                <w:highlight w:val="none"/>
                <w:lang w:val="zh-CN"/>
              </w:rPr>
              <w:t>价格部分（</w:t>
            </w:r>
            <w:r>
              <w:rPr>
                <w:szCs w:val="24"/>
                <w:highlight w:val="none"/>
                <w:lang w:val="zh-CN"/>
              </w:rPr>
              <w:t>30</w:t>
            </w:r>
            <w:r>
              <w:rPr>
                <w:rFonts w:hint="eastAsia"/>
                <w:szCs w:val="24"/>
                <w:highlight w:val="none"/>
                <w:lang w:val="zh-CN"/>
              </w:rPr>
              <w:t>分）</w:t>
            </w:r>
          </w:p>
        </w:tc>
        <w:tc>
          <w:tcPr>
            <w:tcW w:w="1792" w:type="dxa"/>
            <w:tcBorders>
              <w:top w:val="single" w:color="000000" w:sz="2" w:space="0"/>
              <w:left w:val="single" w:color="000000" w:sz="2" w:space="0"/>
              <w:bottom w:val="single" w:color="auto" w:sz="4" w:space="0"/>
              <w:right w:val="single" w:color="000000" w:sz="2" w:space="0"/>
            </w:tcBorders>
            <w:vAlign w:val="center"/>
          </w:tcPr>
          <w:p>
            <w:pPr>
              <w:widowControl w:val="0"/>
              <w:autoSpaceDE w:val="0"/>
              <w:autoSpaceDN w:val="0"/>
              <w:adjustRightInd w:val="0"/>
              <w:spacing w:line="360" w:lineRule="auto"/>
              <w:jc w:val="center"/>
              <w:rPr>
                <w:szCs w:val="24"/>
                <w:highlight w:val="none"/>
                <w:lang w:val="zh-CN"/>
              </w:rPr>
            </w:pPr>
            <w:r>
              <w:rPr>
                <w:rFonts w:hint="eastAsia"/>
                <w:szCs w:val="24"/>
                <w:highlight w:val="none"/>
                <w:lang w:val="zh-CN"/>
              </w:rPr>
              <w:t>报价评分</w:t>
            </w:r>
          </w:p>
          <w:p>
            <w:pPr>
              <w:widowControl w:val="0"/>
              <w:autoSpaceDE w:val="0"/>
              <w:autoSpaceDN w:val="0"/>
              <w:adjustRightInd w:val="0"/>
              <w:spacing w:line="360" w:lineRule="auto"/>
              <w:jc w:val="center"/>
              <w:rPr>
                <w:szCs w:val="24"/>
                <w:highlight w:val="none"/>
                <w:lang w:val="zh-CN"/>
              </w:rPr>
            </w:pPr>
            <w:r>
              <w:rPr>
                <w:rFonts w:hint="eastAsia"/>
                <w:szCs w:val="24"/>
                <w:highlight w:val="none"/>
                <w:lang w:val="zh-CN"/>
              </w:rPr>
              <w:t>（满分</w:t>
            </w:r>
            <w:r>
              <w:rPr>
                <w:szCs w:val="24"/>
                <w:highlight w:val="none"/>
                <w:lang w:val="zh-CN"/>
              </w:rPr>
              <w:t>30</w:t>
            </w:r>
            <w:r>
              <w:rPr>
                <w:rFonts w:hint="eastAsia"/>
                <w:szCs w:val="24"/>
                <w:highlight w:val="none"/>
                <w:lang w:val="zh-CN"/>
              </w:rPr>
              <w:t>分）</w:t>
            </w:r>
          </w:p>
        </w:tc>
        <w:tc>
          <w:tcPr>
            <w:tcW w:w="6924" w:type="dxa"/>
            <w:tcBorders>
              <w:top w:val="single" w:color="000000" w:sz="2" w:space="0"/>
              <w:left w:val="single" w:color="000000" w:sz="2" w:space="0"/>
              <w:bottom w:val="single" w:color="auto" w:sz="4" w:space="0"/>
              <w:right w:val="single" w:color="000000" w:sz="2" w:space="0"/>
            </w:tcBorders>
            <w:vAlign w:val="center"/>
          </w:tcPr>
          <w:p>
            <w:pPr>
              <w:spacing w:line="480" w:lineRule="exact"/>
              <w:rPr>
                <w:rFonts w:hint="eastAsia"/>
                <w:b w:val="0"/>
                <w:bCs w:val="0"/>
                <w:szCs w:val="24"/>
                <w:lang w:val="zh-CN"/>
              </w:rPr>
            </w:pPr>
            <w:r>
              <w:rPr>
                <w:rFonts w:hint="eastAsia"/>
                <w:b w:val="0"/>
                <w:bCs w:val="0"/>
                <w:szCs w:val="24"/>
                <w:lang w:val="zh-CN"/>
              </w:rPr>
              <w:t>价格分统一采用低价优先法计算，即满足采购文件要求且最终报价价格最低的报价为评审基准价，其价格分为满分。其他供应商的价格分统一按照下列公式计算：</w:t>
            </w:r>
          </w:p>
          <w:p>
            <w:pPr>
              <w:spacing w:line="480" w:lineRule="exact"/>
              <w:rPr>
                <w:rFonts w:hint="eastAsia"/>
                <w:b w:val="0"/>
                <w:bCs w:val="0"/>
                <w:szCs w:val="24"/>
                <w:lang w:val="zh-CN"/>
              </w:rPr>
            </w:pPr>
            <w:r>
              <w:rPr>
                <w:rFonts w:hint="eastAsia"/>
                <w:b w:val="0"/>
                <w:bCs w:val="0"/>
                <w:szCs w:val="24"/>
                <w:lang w:val="zh-CN"/>
              </w:rPr>
              <w:t>报价得分=（</w:t>
            </w:r>
            <w:r>
              <w:rPr>
                <w:rFonts w:hint="eastAsia"/>
                <w:b w:val="0"/>
                <w:bCs w:val="0"/>
                <w:szCs w:val="24"/>
              </w:rPr>
              <w:t>评审</w:t>
            </w:r>
            <w:r>
              <w:rPr>
                <w:rFonts w:hint="eastAsia"/>
                <w:b w:val="0"/>
                <w:bCs w:val="0"/>
                <w:szCs w:val="24"/>
                <w:lang w:val="zh-CN"/>
              </w:rPr>
              <w:t>基准价/有效的报价）×0.3×100</w:t>
            </w:r>
          </w:p>
          <w:p>
            <w:pPr>
              <w:spacing w:line="480" w:lineRule="exact"/>
              <w:rPr>
                <w:rFonts w:hint="eastAsia"/>
                <w:b w:val="0"/>
                <w:bCs w:val="0"/>
                <w:szCs w:val="24"/>
                <w:lang w:val="zh-CN"/>
              </w:rPr>
            </w:pPr>
            <w:r>
              <w:rPr>
                <w:rFonts w:hint="eastAsia"/>
                <w:b w:val="0"/>
                <w:bCs w:val="0"/>
                <w:szCs w:val="24"/>
                <w:lang w:val="zh-CN"/>
              </w:rPr>
              <w:t>注：①项目评审过程中，不得去掉最后报价中的最高报价和最低报价。</w:t>
            </w:r>
          </w:p>
          <w:p>
            <w:pPr>
              <w:spacing w:line="480" w:lineRule="exact"/>
              <w:rPr>
                <w:rFonts w:hint="eastAsia"/>
                <w:b w:val="0"/>
                <w:bCs w:val="0"/>
                <w:szCs w:val="24"/>
                <w:lang w:val="zh-CN"/>
              </w:rPr>
            </w:pPr>
            <w:r>
              <w:rPr>
                <w:rFonts w:hint="eastAsia"/>
                <w:b w:val="0"/>
                <w:bCs w:val="0"/>
                <w:szCs w:val="24"/>
                <w:lang w:val="zh-CN"/>
              </w:rPr>
              <w:t>②计算出的最后评审报价得分保留小数点后两位。</w:t>
            </w:r>
          </w:p>
          <w:p>
            <w:pPr>
              <w:spacing w:line="480" w:lineRule="exact"/>
              <w:rPr>
                <w:rFonts w:hint="eastAsia"/>
                <w:b w:val="0"/>
                <w:bCs w:val="0"/>
                <w:szCs w:val="24"/>
                <w:lang w:val="zh-CN"/>
              </w:rPr>
            </w:pPr>
            <w:r>
              <w:rPr>
                <w:rFonts w:hint="eastAsia"/>
                <w:b w:val="0"/>
                <w:bCs w:val="0"/>
                <w:szCs w:val="24"/>
                <w:lang w:val="zh-CN"/>
              </w:rPr>
              <w:t>③有效的报价是指通过资格审查、符合性评审供应商的最终报价。</w:t>
            </w:r>
          </w:p>
          <w:p>
            <w:pPr>
              <w:spacing w:line="480" w:lineRule="exact"/>
              <w:rPr>
                <w:szCs w:val="24"/>
                <w:highlight w:val="none"/>
                <w:lang w:val="zh-CN"/>
              </w:rPr>
            </w:pPr>
            <w:r>
              <w:rPr>
                <w:rFonts w:hint="eastAsia"/>
                <w:b w:val="0"/>
                <w:bCs w:val="0"/>
                <w:szCs w:val="24"/>
                <w:lang w:val="zh-CN"/>
              </w:rPr>
              <w:t>④最终报价超出采购预算价的，按无效标处理。</w:t>
            </w:r>
          </w:p>
        </w:tc>
      </w:tr>
      <w:tr>
        <w:tblPrEx>
          <w:tblLayout w:type="fixed"/>
          <w:tblCellMar>
            <w:top w:w="0" w:type="dxa"/>
            <w:left w:w="14" w:type="dxa"/>
            <w:bottom w:w="0" w:type="dxa"/>
            <w:right w:w="14" w:type="dxa"/>
          </w:tblCellMar>
        </w:tblPrEx>
        <w:trPr>
          <w:trHeight w:val="949" w:hRule="atLeast"/>
          <w:jc w:val="center"/>
        </w:trPr>
        <w:tc>
          <w:tcPr>
            <w:tcW w:w="356"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ind w:hanging="14"/>
              <w:jc w:val="center"/>
              <w:rPr>
                <w:szCs w:val="24"/>
                <w:lang w:val="zh-CN"/>
              </w:rPr>
            </w:pPr>
            <w:r>
              <w:rPr>
                <w:szCs w:val="24"/>
                <w:lang w:val="zh-CN"/>
              </w:rPr>
              <w:t>2</w:t>
            </w:r>
          </w:p>
        </w:tc>
        <w:tc>
          <w:tcPr>
            <w:tcW w:w="687" w:type="dxa"/>
            <w:vMerge w:val="restart"/>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line="360" w:lineRule="auto"/>
              <w:jc w:val="center"/>
              <w:rPr>
                <w:szCs w:val="24"/>
                <w:lang w:val="zh-CN"/>
              </w:rPr>
            </w:pPr>
            <w:r>
              <w:rPr>
                <w:szCs w:val="24"/>
                <w:lang w:val="zh-CN"/>
              </w:rPr>
              <w:t>F2:</w:t>
            </w:r>
            <w:r>
              <w:rPr>
                <w:rFonts w:hint="eastAsia"/>
                <w:szCs w:val="24"/>
                <w:lang w:val="zh-CN"/>
              </w:rPr>
              <w:t>技术部分（</w:t>
            </w:r>
            <w:r>
              <w:rPr>
                <w:rFonts w:hint="eastAsia"/>
                <w:szCs w:val="24"/>
                <w:lang w:val="en-US" w:eastAsia="zh-CN"/>
              </w:rPr>
              <w:t>7</w:t>
            </w:r>
            <w:r>
              <w:rPr>
                <w:szCs w:val="24"/>
              </w:rPr>
              <w:t>0</w:t>
            </w:r>
            <w:r>
              <w:rPr>
                <w:rFonts w:hint="eastAsia"/>
                <w:szCs w:val="24"/>
                <w:lang w:val="zh-CN"/>
              </w:rPr>
              <w:t>分）</w:t>
            </w:r>
          </w:p>
        </w:tc>
        <w:tc>
          <w:tcPr>
            <w:tcW w:w="179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4"/>
              </w:rPr>
            </w:pPr>
            <w:r>
              <w:rPr>
                <w:rFonts w:hint="eastAsia"/>
                <w:szCs w:val="24"/>
              </w:rPr>
              <w:t>技术参数的响应程度（满分</w:t>
            </w:r>
            <w:r>
              <w:rPr>
                <w:szCs w:val="24"/>
              </w:rPr>
              <w:t>40</w:t>
            </w:r>
            <w:r>
              <w:rPr>
                <w:rFonts w:hint="eastAsia"/>
                <w:szCs w:val="24"/>
              </w:rPr>
              <w:t>分）</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b w:val="0"/>
                <w:bCs w:val="0"/>
                <w:szCs w:val="24"/>
              </w:rPr>
            </w:pPr>
            <w:r>
              <w:rPr>
                <w:rFonts w:hint="eastAsia"/>
                <w:b w:val="0"/>
                <w:bCs w:val="0"/>
                <w:szCs w:val="24"/>
              </w:rPr>
              <w:t>根据响应文件中“技术偏离表”对响应文件技术指标的响应程度进行评分：</w:t>
            </w:r>
          </w:p>
          <w:p>
            <w:pPr>
              <w:numPr>
                <w:ilvl w:val="0"/>
                <w:numId w:val="1"/>
              </w:numPr>
              <w:spacing w:line="480" w:lineRule="exact"/>
              <w:rPr>
                <w:rFonts w:hint="eastAsia"/>
                <w:b w:val="0"/>
                <w:bCs w:val="0"/>
                <w:szCs w:val="24"/>
              </w:rPr>
            </w:pPr>
            <w:r>
              <w:rPr>
                <w:rFonts w:hint="eastAsia"/>
                <w:b w:val="0"/>
                <w:bCs w:val="0"/>
                <w:szCs w:val="24"/>
              </w:rPr>
              <w:t>“附件1：</w:t>
            </w:r>
            <w:r>
              <w:rPr>
                <w:rFonts w:hint="eastAsia"/>
                <w:b w:val="0"/>
                <w:bCs w:val="0"/>
                <w:szCs w:val="24"/>
                <w:lang w:val="en-US" w:eastAsia="zh-CN"/>
              </w:rPr>
              <w:t>采购需求</w:t>
            </w:r>
            <w:r>
              <w:rPr>
                <w:rFonts w:hint="eastAsia"/>
                <w:b w:val="0"/>
                <w:bCs w:val="0"/>
                <w:szCs w:val="24"/>
              </w:rPr>
              <w:t>”中，</w:t>
            </w:r>
            <w:r>
              <w:rPr>
                <w:rFonts w:hint="eastAsia"/>
                <w:b w:val="0"/>
                <w:bCs w:val="0"/>
                <w:szCs w:val="24"/>
                <w:lang w:val="en-US" w:eastAsia="zh-CN"/>
              </w:rPr>
              <w:t>若</w:t>
            </w:r>
            <w:r>
              <w:rPr>
                <w:rFonts w:hint="eastAsia"/>
                <w:b w:val="0"/>
                <w:bCs w:val="0"/>
                <w:szCs w:val="24"/>
              </w:rPr>
              <w:t>标注“▲”</w:t>
            </w:r>
            <w:r>
              <w:rPr>
                <w:rFonts w:hint="eastAsia"/>
                <w:b w:val="0"/>
                <w:bCs w:val="0"/>
                <w:szCs w:val="24"/>
                <w:lang w:eastAsia="zh-CN"/>
              </w:rPr>
              <w:t>和</w:t>
            </w:r>
            <w:r>
              <w:rPr>
                <w:rFonts w:hint="eastAsia"/>
                <w:b w:val="0"/>
                <w:bCs w:val="0"/>
                <w:szCs w:val="24"/>
              </w:rPr>
              <w:t>“★”号的为重要技术参数，每出现一项标注“▲”</w:t>
            </w:r>
            <w:r>
              <w:rPr>
                <w:rFonts w:hint="eastAsia"/>
                <w:b w:val="0"/>
                <w:bCs w:val="0"/>
                <w:szCs w:val="24"/>
                <w:lang w:eastAsia="zh-CN"/>
              </w:rPr>
              <w:t>和</w:t>
            </w:r>
            <w:r>
              <w:rPr>
                <w:rFonts w:hint="eastAsia"/>
                <w:b w:val="0"/>
                <w:bCs w:val="0"/>
                <w:szCs w:val="24"/>
              </w:rPr>
              <w:t>“★”号的重要技术参数不满足采购公告中技术参数要求的，每一项扣</w:t>
            </w:r>
            <w:r>
              <w:rPr>
                <w:rFonts w:hint="eastAsia"/>
                <w:b w:val="0"/>
                <w:bCs w:val="0"/>
                <w:szCs w:val="24"/>
                <w:lang w:val="en-US" w:eastAsia="zh-CN"/>
              </w:rPr>
              <w:t>5</w:t>
            </w:r>
            <w:r>
              <w:rPr>
                <w:rFonts w:hint="eastAsia"/>
                <w:b w:val="0"/>
                <w:bCs w:val="0"/>
                <w:szCs w:val="24"/>
              </w:rPr>
              <w:t>分；</w:t>
            </w:r>
          </w:p>
          <w:p>
            <w:pPr>
              <w:numPr>
                <w:ilvl w:val="0"/>
                <w:numId w:val="1"/>
              </w:numPr>
              <w:spacing w:line="480" w:lineRule="exact"/>
              <w:rPr>
                <w:rFonts w:hint="eastAsia"/>
                <w:b w:val="0"/>
                <w:bCs w:val="0"/>
                <w:szCs w:val="24"/>
              </w:rPr>
            </w:pPr>
            <w:r>
              <w:rPr>
                <w:rFonts w:hint="eastAsia"/>
                <w:b w:val="0"/>
                <w:bCs w:val="0"/>
                <w:szCs w:val="24"/>
              </w:rPr>
              <w:t>“★”号技术参数须提供软件系统现场实体演示，</w:t>
            </w:r>
            <w:r>
              <w:rPr>
                <w:rFonts w:hint="eastAsia"/>
                <w:b w:val="0"/>
                <w:bCs w:val="0"/>
                <w:szCs w:val="24"/>
                <w:lang w:val="en-US" w:eastAsia="zh-CN"/>
              </w:rPr>
              <w:t>不得</w:t>
            </w:r>
            <w:r>
              <w:rPr>
                <w:rFonts w:hint="eastAsia"/>
                <w:b w:val="0"/>
                <w:bCs w:val="0"/>
                <w:szCs w:val="24"/>
              </w:rPr>
              <w:t>以图片、视频、PPT、DEMO等形式演示</w:t>
            </w:r>
            <w:r>
              <w:rPr>
                <w:rFonts w:hint="eastAsia"/>
                <w:b w:val="0"/>
                <w:bCs w:val="0"/>
                <w:szCs w:val="24"/>
                <w:lang w:eastAsia="zh-CN"/>
              </w:rPr>
              <w:t>。</w:t>
            </w:r>
            <w:r>
              <w:rPr>
                <w:rFonts w:hint="eastAsia"/>
                <w:b w:val="0"/>
                <w:bCs w:val="0"/>
                <w:szCs w:val="24"/>
              </w:rPr>
              <w:t>如未提供现场演示或演示内容不满足参数要求，视为未响应该参数要求</w:t>
            </w:r>
            <w:r>
              <w:rPr>
                <w:rFonts w:hint="eastAsia"/>
                <w:b w:val="0"/>
                <w:bCs w:val="0"/>
                <w:szCs w:val="24"/>
                <w:lang w:eastAsia="zh-CN"/>
              </w:rPr>
              <w:t>，</w:t>
            </w:r>
            <w:r>
              <w:rPr>
                <w:rFonts w:hint="eastAsia"/>
                <w:b w:val="0"/>
                <w:bCs w:val="0"/>
                <w:szCs w:val="24"/>
              </w:rPr>
              <w:t>现场演示演示时间每家不超过15分钟。</w:t>
            </w:r>
          </w:p>
          <w:p>
            <w:pPr>
              <w:spacing w:line="480" w:lineRule="exact"/>
              <w:rPr>
                <w:rFonts w:hint="default"/>
                <w:b w:val="0"/>
                <w:bCs w:val="0"/>
                <w:szCs w:val="24"/>
                <w:lang w:val="en-US" w:eastAsia="zh-CN"/>
              </w:rPr>
            </w:pPr>
            <w:r>
              <w:rPr>
                <w:rFonts w:hint="eastAsia"/>
                <w:b w:val="0"/>
                <w:bCs w:val="0"/>
                <w:szCs w:val="24"/>
                <w:lang w:val="en-US" w:eastAsia="zh-CN"/>
              </w:rPr>
              <w:t>3.</w:t>
            </w:r>
            <w:r>
              <w:rPr>
                <w:rFonts w:hint="eastAsia"/>
                <w:b w:val="0"/>
                <w:bCs w:val="0"/>
                <w:szCs w:val="24"/>
              </w:rPr>
              <w:t>非“▲”“★”号技术参数为一般技术参数，每出现1项一般技术参数不满足采购公告中技术参数要求的，扣</w:t>
            </w:r>
            <w:r>
              <w:rPr>
                <w:rFonts w:hint="eastAsia"/>
                <w:b w:val="0"/>
                <w:bCs w:val="0"/>
                <w:szCs w:val="24"/>
                <w:lang w:val="en-US" w:eastAsia="zh-CN"/>
              </w:rPr>
              <w:t>2</w:t>
            </w:r>
            <w:r>
              <w:rPr>
                <w:rFonts w:hint="eastAsia"/>
                <w:b w:val="0"/>
                <w:bCs w:val="0"/>
                <w:szCs w:val="24"/>
              </w:rPr>
              <w:t>分；</w:t>
            </w:r>
          </w:p>
          <w:p>
            <w:pPr>
              <w:spacing w:line="480" w:lineRule="exact"/>
              <w:rPr>
                <w:rFonts w:hint="eastAsia"/>
                <w:b/>
                <w:bCs/>
                <w:szCs w:val="24"/>
              </w:rPr>
            </w:pPr>
            <w:r>
              <w:rPr>
                <w:rFonts w:hint="eastAsia"/>
                <w:b/>
                <w:bCs/>
                <w:szCs w:val="24"/>
              </w:rPr>
              <w:t xml:space="preserve">注： </w:t>
            </w:r>
          </w:p>
          <w:p>
            <w:pPr>
              <w:spacing w:line="480" w:lineRule="exact"/>
              <w:rPr>
                <w:b/>
                <w:szCs w:val="24"/>
              </w:rPr>
            </w:pPr>
            <w:r>
              <w:rPr>
                <w:rFonts w:hint="eastAsia"/>
                <w:b/>
                <w:bCs/>
                <w:szCs w:val="24"/>
              </w:rPr>
              <w:t>要求投标人对产品技术参数进行逐项响应，并提供证明材料。证明材料可以为技术白皮书或检测报告或印刷宣传彩页或图纸或功能截图。证明材料应当字迹清晰可见，</w:t>
            </w:r>
            <w:bookmarkStart w:id="0" w:name="_GoBack"/>
            <w:bookmarkEnd w:id="0"/>
            <w:r>
              <w:rPr>
                <w:rFonts w:hint="eastAsia"/>
                <w:b/>
                <w:bCs/>
                <w:szCs w:val="24"/>
              </w:rPr>
              <w:t>否则造成的不利后果由投标人自行承担责任。证明材料应制作索引目录，并标记页码，方便评委查找。未对技术参数偏离表中的响应参数提供佐证材料的，视为参数负偏离。对技术参数有偏离的，如实填写在《技术偏离表》中，未在《技术偏离表》中填写的或与佐证材料不一致的或未提供佐证材料的，视为参数负偏离。《技术偏离表》将作为验收依据之一，如投标人虚假响应，自行承担违约风险。</w:t>
            </w:r>
          </w:p>
        </w:tc>
      </w:tr>
      <w:tr>
        <w:tblPrEx>
          <w:tblLayout w:type="fixed"/>
          <w:tblCellMar>
            <w:top w:w="0" w:type="dxa"/>
            <w:left w:w="14" w:type="dxa"/>
            <w:bottom w:w="0" w:type="dxa"/>
            <w:right w:w="14" w:type="dxa"/>
          </w:tblCellMar>
        </w:tblPrEx>
        <w:trPr>
          <w:trHeight w:val="2118" w:hRule="atLeast"/>
          <w:jc w:val="center"/>
        </w:trPr>
        <w:tc>
          <w:tcPr>
            <w:tcW w:w="356" w:type="dxa"/>
            <w:vMerge w:val="continue"/>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ind w:hanging="14"/>
              <w:jc w:val="center"/>
              <w:rPr>
                <w:szCs w:val="24"/>
                <w:lang w:val="zh-CN"/>
              </w:rPr>
            </w:pPr>
          </w:p>
        </w:tc>
        <w:tc>
          <w:tcPr>
            <w:tcW w:w="687" w:type="dxa"/>
            <w:vMerge w:val="continue"/>
            <w:tcBorders>
              <w:top w:val="nil"/>
              <w:left w:val="single" w:color="auto" w:sz="4" w:space="0"/>
              <w:bottom w:val="nil"/>
              <w:right w:val="single" w:color="auto" w:sz="4" w:space="0"/>
            </w:tcBorders>
            <w:vAlign w:val="center"/>
          </w:tcPr>
          <w:p>
            <w:pPr>
              <w:widowControl w:val="0"/>
              <w:autoSpaceDE w:val="0"/>
              <w:autoSpaceDN w:val="0"/>
              <w:adjustRightInd w:val="0"/>
              <w:spacing w:line="360" w:lineRule="auto"/>
              <w:rPr>
                <w:szCs w:val="24"/>
                <w:lang w:val="zh-CN"/>
              </w:rPr>
            </w:pPr>
          </w:p>
        </w:tc>
        <w:tc>
          <w:tcPr>
            <w:tcW w:w="1792"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szCs w:val="24"/>
              </w:rPr>
            </w:pPr>
            <w:r>
              <w:rPr>
                <w:rFonts w:hint="eastAsia"/>
                <w:szCs w:val="24"/>
              </w:rPr>
              <w:t>售后服务方案、培训计划及方案、巡检计划及方案、违约承诺（满分</w:t>
            </w:r>
            <w:r>
              <w:rPr>
                <w:szCs w:val="24"/>
              </w:rPr>
              <w:t>2</w:t>
            </w:r>
            <w:r>
              <w:rPr>
                <w:rFonts w:hint="eastAsia"/>
                <w:szCs w:val="24"/>
              </w:rPr>
              <w:t>0分）</w:t>
            </w:r>
          </w:p>
        </w:tc>
        <w:tc>
          <w:tcPr>
            <w:tcW w:w="6924" w:type="dxa"/>
            <w:tcBorders>
              <w:top w:val="single" w:color="000000" w:sz="2" w:space="0"/>
              <w:left w:val="single" w:color="000000" w:sz="2" w:space="0"/>
              <w:bottom w:val="single" w:color="000000" w:sz="2" w:space="0"/>
              <w:right w:val="single" w:color="000000" w:sz="2" w:space="0"/>
            </w:tcBorders>
            <w:vAlign w:val="center"/>
          </w:tcPr>
          <w:p>
            <w:pPr>
              <w:spacing w:line="480" w:lineRule="exact"/>
              <w:rPr>
                <w:rFonts w:hint="eastAsia" w:eastAsia="宋体"/>
                <w:szCs w:val="24"/>
                <w:lang w:eastAsia="zh-CN"/>
              </w:rPr>
            </w:pPr>
            <w:r>
              <w:rPr>
                <w:rFonts w:hint="eastAsia"/>
                <w:color w:val="000000"/>
                <w:szCs w:val="24"/>
              </w:rPr>
              <w:t>以售后服务方案、培训计划及方案、巡检计划及方案、违约承诺4个方面为依据进行评审。上述内容</w:t>
            </w:r>
            <w:r>
              <w:rPr>
                <w:rFonts w:hint="eastAsia"/>
                <w:b/>
                <w:color w:val="000000"/>
                <w:szCs w:val="24"/>
              </w:rPr>
              <w:t>每提供1个方面的得5分，根据方案的可靠性、针对性、可行性进行评审，方案有缺陷的每1项扣</w:t>
            </w:r>
            <w:r>
              <w:rPr>
                <w:b/>
                <w:color w:val="000000"/>
                <w:szCs w:val="24"/>
              </w:rPr>
              <w:t>2</w:t>
            </w:r>
            <w:r>
              <w:rPr>
                <w:rFonts w:hint="eastAsia"/>
                <w:b/>
                <w:color w:val="000000"/>
                <w:szCs w:val="24"/>
              </w:rPr>
              <w:t>分。</w:t>
            </w:r>
            <w:r>
              <w:rPr>
                <w:rFonts w:hint="eastAsia"/>
                <w:b/>
                <w:color w:val="000000"/>
                <w:szCs w:val="24"/>
                <w:lang w:eastAsia="zh-CN"/>
              </w:rPr>
              <w:t>（</w:t>
            </w:r>
            <w:r>
              <w:rPr>
                <w:rFonts w:hint="eastAsia"/>
                <w:szCs w:val="24"/>
              </w:rPr>
              <w:t>满分</w:t>
            </w:r>
            <w:r>
              <w:rPr>
                <w:szCs w:val="24"/>
              </w:rPr>
              <w:t>2</w:t>
            </w:r>
            <w:r>
              <w:rPr>
                <w:rFonts w:hint="eastAsia"/>
                <w:szCs w:val="24"/>
              </w:rPr>
              <w:t>0分</w:t>
            </w:r>
            <w:r>
              <w:rPr>
                <w:rFonts w:hint="eastAsia"/>
                <w:szCs w:val="24"/>
                <w:lang w:eastAsia="zh-CN"/>
              </w:rPr>
              <w:t>）。</w:t>
            </w:r>
          </w:p>
        </w:tc>
      </w:tr>
      <w:tr>
        <w:tblPrEx>
          <w:tblLayout w:type="fixed"/>
          <w:tblCellMar>
            <w:top w:w="0" w:type="dxa"/>
            <w:left w:w="14" w:type="dxa"/>
            <w:bottom w:w="0" w:type="dxa"/>
            <w:right w:w="14" w:type="dxa"/>
          </w:tblCellMar>
        </w:tblPrEx>
        <w:trPr>
          <w:trHeight w:val="1456" w:hRule="atLeast"/>
          <w:jc w:val="center"/>
        </w:trPr>
        <w:tc>
          <w:tcPr>
            <w:tcW w:w="356" w:type="dxa"/>
            <w:vMerge w:val="restart"/>
            <w:tcBorders>
              <w:top w:val="single" w:color="auto" w:sz="4" w:space="0"/>
              <w:left w:val="single" w:color="auto" w:sz="4" w:space="0"/>
              <w:right w:val="single" w:color="auto" w:sz="4" w:space="0"/>
            </w:tcBorders>
            <w:vAlign w:val="center"/>
          </w:tcPr>
          <w:p>
            <w:pPr>
              <w:widowControl w:val="0"/>
              <w:autoSpaceDE w:val="0"/>
              <w:autoSpaceDN w:val="0"/>
              <w:adjustRightInd w:val="0"/>
              <w:spacing w:line="360" w:lineRule="auto"/>
              <w:ind w:hanging="14"/>
              <w:jc w:val="center"/>
              <w:rPr>
                <w:szCs w:val="24"/>
                <w:lang w:val="zh-CN"/>
              </w:rPr>
            </w:pPr>
          </w:p>
        </w:tc>
        <w:tc>
          <w:tcPr>
            <w:tcW w:w="687" w:type="dxa"/>
            <w:vMerge w:val="continue"/>
            <w:tcBorders>
              <w:top w:val="nil"/>
              <w:left w:val="single" w:color="auto" w:sz="4" w:space="0"/>
              <w:bottom w:val="nil"/>
              <w:right w:val="single" w:color="auto" w:sz="4" w:space="0"/>
            </w:tcBorders>
            <w:vAlign w:val="center"/>
          </w:tcPr>
          <w:p>
            <w:pPr>
              <w:widowControl w:val="0"/>
              <w:autoSpaceDE w:val="0"/>
              <w:autoSpaceDN w:val="0"/>
              <w:adjustRightInd w:val="0"/>
              <w:spacing w:line="360" w:lineRule="auto"/>
              <w:jc w:val="center"/>
              <w:rPr>
                <w:szCs w:val="24"/>
                <w:lang w:val="zh-CN"/>
              </w:rPr>
            </w:pPr>
          </w:p>
        </w:tc>
        <w:tc>
          <w:tcPr>
            <w:tcW w:w="1792" w:type="dxa"/>
            <w:tcBorders>
              <w:top w:val="single" w:color="000000" w:sz="2" w:space="0"/>
              <w:left w:val="single" w:color="auto" w:sz="4" w:space="0"/>
              <w:bottom w:val="single" w:color="000000" w:sz="2" w:space="0"/>
              <w:right w:val="single" w:color="000000" w:sz="2" w:space="0"/>
            </w:tcBorders>
            <w:vAlign w:val="center"/>
          </w:tcPr>
          <w:p>
            <w:pPr>
              <w:widowControl w:val="0"/>
              <w:autoSpaceDE w:val="0"/>
              <w:autoSpaceDN w:val="0"/>
              <w:adjustRightInd w:val="0"/>
              <w:spacing w:line="360" w:lineRule="auto"/>
              <w:jc w:val="center"/>
              <w:rPr>
                <w:color w:val="000000"/>
                <w:szCs w:val="24"/>
              </w:rPr>
            </w:pPr>
            <w:r>
              <w:rPr>
                <w:rFonts w:hint="eastAsia"/>
                <w:color w:val="000000"/>
                <w:szCs w:val="24"/>
              </w:rPr>
              <w:t>设备质保期</w:t>
            </w:r>
          </w:p>
          <w:p>
            <w:pPr>
              <w:widowControl w:val="0"/>
              <w:autoSpaceDE w:val="0"/>
              <w:autoSpaceDN w:val="0"/>
              <w:adjustRightInd w:val="0"/>
              <w:spacing w:line="360" w:lineRule="auto"/>
              <w:jc w:val="center"/>
              <w:rPr>
                <w:color w:val="000000"/>
                <w:szCs w:val="24"/>
              </w:rPr>
            </w:pPr>
            <w:r>
              <w:rPr>
                <w:rFonts w:hint="eastAsia"/>
                <w:color w:val="000000"/>
                <w:szCs w:val="24"/>
              </w:rPr>
              <w:t>（满分</w:t>
            </w:r>
            <w:r>
              <w:rPr>
                <w:color w:val="000000"/>
                <w:szCs w:val="24"/>
              </w:rPr>
              <w:t>6</w:t>
            </w:r>
            <w:r>
              <w:rPr>
                <w:rFonts w:hint="eastAsia"/>
                <w:color w:val="000000"/>
                <w:szCs w:val="24"/>
              </w:rPr>
              <w:t>分）</w:t>
            </w:r>
          </w:p>
        </w:tc>
        <w:tc>
          <w:tcPr>
            <w:tcW w:w="6924" w:type="dxa"/>
            <w:tcBorders>
              <w:top w:val="single" w:color="000000" w:sz="2" w:space="0"/>
              <w:left w:val="single" w:color="000000" w:sz="2" w:space="0"/>
              <w:bottom w:val="single" w:color="000000" w:sz="2" w:space="0"/>
              <w:right w:val="single" w:color="000000" w:sz="2" w:space="0"/>
            </w:tcBorders>
            <w:vAlign w:val="center"/>
          </w:tcPr>
          <w:p>
            <w:pPr>
              <w:spacing w:line="520" w:lineRule="exact"/>
              <w:rPr>
                <w:b/>
                <w:color w:val="000000"/>
                <w:szCs w:val="24"/>
              </w:rPr>
            </w:pPr>
            <w:r>
              <w:rPr>
                <w:rFonts w:hint="eastAsia"/>
                <w:b/>
                <w:color w:val="000000"/>
                <w:szCs w:val="24"/>
              </w:rPr>
              <w:t>设备质保期要求最低</w:t>
            </w:r>
            <w:r>
              <w:rPr>
                <w:b/>
                <w:color w:val="000000"/>
                <w:szCs w:val="24"/>
              </w:rPr>
              <w:t>2</w:t>
            </w:r>
            <w:r>
              <w:rPr>
                <w:rFonts w:hint="eastAsia"/>
                <w:b/>
                <w:color w:val="000000"/>
                <w:szCs w:val="24"/>
              </w:rPr>
              <w:t>年，在</w:t>
            </w:r>
            <w:r>
              <w:rPr>
                <w:b/>
                <w:color w:val="000000"/>
                <w:szCs w:val="24"/>
              </w:rPr>
              <w:t>2</w:t>
            </w:r>
            <w:r>
              <w:rPr>
                <w:rFonts w:hint="eastAsia"/>
                <w:b/>
                <w:color w:val="000000"/>
                <w:szCs w:val="24"/>
              </w:rPr>
              <w:t>年基础上每增加</w:t>
            </w:r>
            <w:r>
              <w:rPr>
                <w:b/>
                <w:color w:val="000000"/>
                <w:szCs w:val="24"/>
              </w:rPr>
              <w:t>1</w:t>
            </w:r>
            <w:r>
              <w:rPr>
                <w:rFonts w:hint="eastAsia"/>
                <w:b/>
                <w:color w:val="000000"/>
                <w:szCs w:val="24"/>
              </w:rPr>
              <w:t>年质保得</w:t>
            </w:r>
            <w:r>
              <w:rPr>
                <w:b/>
                <w:color w:val="000000"/>
                <w:szCs w:val="24"/>
              </w:rPr>
              <w:t>2</w:t>
            </w:r>
            <w:r>
              <w:rPr>
                <w:rFonts w:hint="eastAsia"/>
                <w:b/>
                <w:color w:val="000000"/>
                <w:szCs w:val="24"/>
              </w:rPr>
              <w:t>分</w:t>
            </w:r>
            <w:r>
              <w:rPr>
                <w:rFonts w:hint="eastAsia"/>
                <w:b/>
                <w:color w:val="000000"/>
                <w:szCs w:val="24"/>
                <w:lang w:eastAsia="zh-CN"/>
              </w:rPr>
              <w:t>。（</w:t>
            </w:r>
            <w:r>
              <w:rPr>
                <w:rFonts w:hint="eastAsia"/>
                <w:b/>
                <w:color w:val="000000"/>
                <w:szCs w:val="24"/>
              </w:rPr>
              <w:t>满分</w:t>
            </w:r>
            <w:r>
              <w:rPr>
                <w:b/>
                <w:color w:val="000000"/>
                <w:szCs w:val="24"/>
              </w:rPr>
              <w:t>6</w:t>
            </w:r>
            <w:r>
              <w:rPr>
                <w:rFonts w:hint="eastAsia"/>
                <w:b/>
                <w:color w:val="000000"/>
                <w:szCs w:val="24"/>
              </w:rPr>
              <w:t>分</w:t>
            </w:r>
            <w:r>
              <w:rPr>
                <w:rFonts w:hint="eastAsia"/>
                <w:b/>
                <w:color w:val="000000"/>
                <w:szCs w:val="24"/>
                <w:lang w:eastAsia="zh-CN"/>
              </w:rPr>
              <w:t>）</w:t>
            </w:r>
            <w:r>
              <w:rPr>
                <w:rFonts w:hint="eastAsia"/>
                <w:b/>
                <w:color w:val="000000"/>
                <w:szCs w:val="24"/>
              </w:rPr>
              <w:t>。</w:t>
            </w:r>
          </w:p>
        </w:tc>
      </w:tr>
      <w:tr>
        <w:tblPrEx>
          <w:tblLayout w:type="fixed"/>
          <w:tblCellMar>
            <w:top w:w="0" w:type="dxa"/>
            <w:left w:w="14" w:type="dxa"/>
            <w:bottom w:w="0" w:type="dxa"/>
            <w:right w:w="14" w:type="dxa"/>
          </w:tblCellMar>
        </w:tblPrEx>
        <w:trPr>
          <w:trHeight w:val="2084" w:hRule="atLeast"/>
          <w:jc w:val="center"/>
        </w:trPr>
        <w:tc>
          <w:tcPr>
            <w:tcW w:w="356" w:type="dxa"/>
            <w:vMerge w:val="continue"/>
            <w:tcBorders>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ind w:hanging="14"/>
              <w:jc w:val="center"/>
              <w:rPr>
                <w:szCs w:val="24"/>
                <w:lang w:val="zh-CN"/>
              </w:rPr>
            </w:pPr>
          </w:p>
        </w:tc>
        <w:tc>
          <w:tcPr>
            <w:tcW w:w="687"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rPr>
                <w:szCs w:val="24"/>
                <w:lang w:val="zh-CN"/>
              </w:rPr>
            </w:pPr>
          </w:p>
        </w:tc>
        <w:tc>
          <w:tcPr>
            <w:tcW w:w="1792" w:type="dxa"/>
            <w:tcBorders>
              <w:top w:val="single" w:color="000000" w:sz="2" w:space="0"/>
              <w:left w:val="single" w:color="auto" w:sz="4" w:space="0"/>
              <w:bottom w:val="single" w:color="000000" w:sz="2" w:space="0"/>
              <w:right w:val="single" w:color="000000" w:sz="2" w:space="0"/>
            </w:tcBorders>
            <w:vAlign w:val="center"/>
          </w:tcPr>
          <w:p>
            <w:pPr>
              <w:widowControl w:val="0"/>
              <w:autoSpaceDE w:val="0"/>
              <w:autoSpaceDN w:val="0"/>
              <w:adjustRightInd w:val="0"/>
              <w:spacing w:line="360" w:lineRule="auto"/>
              <w:jc w:val="center"/>
              <w:rPr>
                <w:szCs w:val="24"/>
                <w:lang w:val="zh-CN"/>
              </w:rPr>
            </w:pPr>
            <w:r>
              <w:rPr>
                <w:rFonts w:hint="eastAsia"/>
                <w:szCs w:val="24"/>
                <w:lang w:val="zh-CN"/>
              </w:rPr>
              <w:t>业绩</w:t>
            </w:r>
          </w:p>
          <w:p>
            <w:pPr>
              <w:widowControl w:val="0"/>
              <w:autoSpaceDE w:val="0"/>
              <w:autoSpaceDN w:val="0"/>
              <w:adjustRightInd w:val="0"/>
              <w:spacing w:line="360" w:lineRule="auto"/>
              <w:jc w:val="center"/>
              <w:rPr>
                <w:color w:val="FF0000"/>
                <w:szCs w:val="24"/>
              </w:rPr>
            </w:pPr>
            <w:r>
              <w:rPr>
                <w:rFonts w:hint="eastAsia"/>
                <w:szCs w:val="24"/>
                <w:lang w:val="zh-CN"/>
              </w:rPr>
              <w:t>（满分4分）</w:t>
            </w:r>
          </w:p>
        </w:tc>
        <w:tc>
          <w:tcPr>
            <w:tcW w:w="6924" w:type="dxa"/>
            <w:tcBorders>
              <w:top w:val="single" w:color="000000" w:sz="2" w:space="0"/>
              <w:left w:val="single" w:color="000000" w:sz="2" w:space="0"/>
              <w:bottom w:val="single" w:color="000000" w:sz="2" w:space="0"/>
              <w:right w:val="single" w:color="000000" w:sz="2" w:space="0"/>
            </w:tcBorders>
            <w:vAlign w:val="center"/>
          </w:tcPr>
          <w:p>
            <w:pPr>
              <w:spacing w:line="520" w:lineRule="exact"/>
              <w:rPr>
                <w:rFonts w:hint="eastAsia"/>
                <w:b w:val="0"/>
                <w:bCs/>
                <w:color w:val="000000"/>
                <w:szCs w:val="24"/>
              </w:rPr>
            </w:pPr>
            <w:r>
              <w:rPr>
                <w:rFonts w:hint="eastAsia"/>
                <w:b w:val="0"/>
                <w:bCs/>
                <w:color w:val="000000"/>
                <w:szCs w:val="24"/>
              </w:rPr>
              <w:t>提供近三年内完成的类似项目业绩。提供项目业绩的合同</w:t>
            </w:r>
            <w:r>
              <w:rPr>
                <w:rFonts w:hint="eastAsia"/>
                <w:b w:val="0"/>
                <w:bCs/>
                <w:szCs w:val="24"/>
              </w:rPr>
              <w:t>封面</w:t>
            </w:r>
            <w:r>
              <w:rPr>
                <w:rFonts w:hint="eastAsia"/>
                <w:b w:val="0"/>
                <w:bCs/>
                <w:szCs w:val="24"/>
                <w:lang w:eastAsia="zh-CN"/>
              </w:rPr>
              <w:t>、</w:t>
            </w:r>
            <w:r>
              <w:rPr>
                <w:rFonts w:hint="eastAsia"/>
                <w:b w:val="0"/>
                <w:bCs/>
                <w:szCs w:val="24"/>
              </w:rPr>
              <w:t>合同主页及配置清单</w:t>
            </w:r>
            <w:r>
              <w:rPr>
                <w:rFonts w:hint="eastAsia"/>
                <w:b w:val="0"/>
                <w:bCs/>
                <w:color w:val="000000"/>
                <w:szCs w:val="24"/>
              </w:rPr>
              <w:t>复印件。每个业绩得1分，满分为</w:t>
            </w:r>
            <w:r>
              <w:rPr>
                <w:rFonts w:hint="eastAsia"/>
                <w:b w:val="0"/>
                <w:bCs/>
                <w:color w:val="000000"/>
                <w:szCs w:val="24"/>
                <w:lang w:val="en-US" w:eastAsia="zh-CN"/>
              </w:rPr>
              <w:t>4</w:t>
            </w:r>
            <w:r>
              <w:rPr>
                <w:rFonts w:hint="eastAsia"/>
                <w:b w:val="0"/>
                <w:bCs/>
                <w:color w:val="000000"/>
                <w:szCs w:val="24"/>
              </w:rPr>
              <w:t>分。（未提供有效的业绩证明材料的不得分）</w:t>
            </w:r>
          </w:p>
          <w:p>
            <w:pPr>
              <w:spacing w:line="520" w:lineRule="exact"/>
              <w:rPr>
                <w:b/>
                <w:color w:val="FF0000"/>
                <w:szCs w:val="24"/>
              </w:rPr>
            </w:pPr>
            <w:r>
              <w:rPr>
                <w:rFonts w:hint="eastAsia"/>
                <w:b/>
                <w:szCs w:val="24"/>
              </w:rPr>
              <w:t>注：“业绩为所投产品同品牌型号的销售业绩</w:t>
            </w:r>
            <w:r>
              <w:rPr>
                <w:b/>
                <w:szCs w:val="24"/>
              </w:rPr>
              <w:t xml:space="preserve"> </w:t>
            </w:r>
            <w:r>
              <w:rPr>
                <w:rFonts w:hint="eastAsia"/>
                <w:b/>
                <w:szCs w:val="24"/>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A73D0"/>
    <w:multiLevelType w:val="singleLevel"/>
    <w:tmpl w:val="66DA73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00650"/>
    <w:rsid w:val="05443257"/>
    <w:rsid w:val="2875023B"/>
    <w:rsid w:val="41500650"/>
    <w:rsid w:val="45FF4630"/>
    <w:rsid w:val="6121202D"/>
    <w:rsid w:val="6AD6159C"/>
    <w:rsid w:val="72837C1E"/>
    <w:rsid w:val="755F136B"/>
    <w:rsid w:val="75F256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2024-09-06T07:04:00Z</dcterms:created>
  <dc:creator>朱岚</dc:creator>
  <cp:lastModifiedBy>朱岚</cp:lastModifiedBy>
  <dcterms:modified xsi:type="dcterms:W3CDTF">2024-09-06T07:52:16Z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